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1"/>
        <w:tblW w:w="8528" w:type="dxa"/>
        <w:tblInd w:w="0" w:type="dxa"/>
        <w:tblBorders>
          <w:top w:val="none" w:color="auto" w:sz="0" w:space="0"/>
          <w:left w:val="none" w:color="auto" w:sz="0" w:space="0"/>
          <w:bottom w:val="none" w:color="auto" w:sz="0" w:space="0"/>
          <w:right w:val="none" w:color="auto" w:sz="0" w:space="0"/>
          <w:insideH w:val="single" w:color="auto" w:sz="12" w:space="0"/>
          <w:insideV w:val="single" w:color="auto" w:sz="12" w:space="0"/>
        </w:tblBorders>
        <w:tblLayout w:type="fixed"/>
        <w:tblCellMar>
          <w:top w:w="0" w:type="dxa"/>
          <w:left w:w="108" w:type="dxa"/>
          <w:bottom w:w="0" w:type="dxa"/>
          <w:right w:w="108" w:type="dxa"/>
        </w:tblCellMar>
      </w:tblPr>
      <w:tblGrid>
        <w:gridCol w:w="8528"/>
      </w:tblGrid>
      <w:tr>
        <w:tblPrEx>
          <w:tblBorders>
            <w:top w:val="none" w:color="auto" w:sz="0" w:space="0"/>
            <w:left w:val="none" w:color="auto" w:sz="0" w:space="0"/>
            <w:bottom w:val="none" w:color="auto" w:sz="0" w:space="0"/>
            <w:right w:val="none" w:color="auto" w:sz="0" w:space="0"/>
            <w:insideH w:val="single" w:color="auto" w:sz="12" w:space="0"/>
            <w:insideV w:val="single" w:color="auto" w:sz="12" w:space="0"/>
          </w:tblBorders>
          <w:tblCellMar>
            <w:top w:w="0" w:type="dxa"/>
            <w:left w:w="108" w:type="dxa"/>
            <w:bottom w:w="0" w:type="dxa"/>
            <w:right w:w="108" w:type="dxa"/>
          </w:tblCellMar>
        </w:tblPrEx>
        <w:trPr>
          <w:trHeight w:val="213" w:hRule="atLeast"/>
        </w:trPr>
        <w:tc>
          <w:tcPr>
            <w:tcW w:w="8528" w:type="dxa"/>
          </w:tcPr>
          <w:tbl>
            <w:tblPr>
              <w:tblStyle w:val="11"/>
              <w:tblpPr w:leftFromText="180" w:rightFromText="180" w:vertAnchor="page" w:horzAnchor="page" w:tblpX="1792" w:tblpY="1764"/>
              <w:tblOverlap w:val="never"/>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266"/>
              <w:gridCol w:w="1365"/>
              <w:gridCol w:w="16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631" w:type="dxa"/>
                  <w:gridSpan w:val="2"/>
                  <w:tcBorders>
                    <w:tl2br w:val="nil"/>
                    <w:tr2bl w:val="nil"/>
                  </w:tcBorders>
                </w:tcPr>
                <w:p>
                  <w:r>
                    <w:rPr>
                      <w:rFonts w:hint="eastAsia"/>
                    </w:rPr>
                    <w:br w:type="page"/>
                  </w:r>
                  <w:r>
                    <w:rPr>
                      <w:sz w:val="24"/>
                      <w:szCs w:val="32"/>
                    </w:rPr>
                    <w:t>UDC</w:t>
                  </w:r>
                </w:p>
              </w:tc>
              <w:tc>
                <w:tcPr>
                  <w:tcW w:w="1681" w:type="dxa"/>
                  <w:vMerge w:val="restart"/>
                  <w:tcBorders>
                    <w:tl2br w:val="nil"/>
                    <w:tr2bl w:val="nil"/>
                  </w:tcBorders>
                </w:tcPr>
                <w:p>
                  <w:pPr>
                    <w:spacing w:line="720" w:lineRule="auto"/>
                    <w:ind w:left="525" w:leftChars="250"/>
                  </w:pPr>
                  <w:r>
                    <w:rPr>
                      <w:b/>
                      <w:sz w:val="44"/>
                      <w:szCs w:val="44"/>
                    </w:rPr>
                    <w:t>DB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631" w:type="dxa"/>
                  <w:gridSpan w:val="2"/>
                  <w:tcBorders>
                    <w:tl2br w:val="nil"/>
                    <w:tr2bl w:val="nil"/>
                  </w:tcBorders>
                </w:tcPr>
                <w:p>
                  <w:pPr>
                    <w:ind w:left="525" w:leftChars="250"/>
                    <w:jc w:val="center"/>
                    <w:rPr>
                      <w:b/>
                      <w:sz w:val="72"/>
                      <w:szCs w:val="72"/>
                    </w:rPr>
                  </w:pPr>
                  <w:r>
                    <w:rPr>
                      <w:b/>
                      <w:sz w:val="72"/>
                      <w:szCs w:val="72"/>
                    </w:rPr>
                    <w:t>云南省地方标准</w:t>
                  </w:r>
                </w:p>
              </w:tc>
              <w:tc>
                <w:tcPr>
                  <w:tcW w:w="1681" w:type="dxa"/>
                  <w:vMerge w:val="continue"/>
                  <w:tcBorders>
                    <w:tl2br w:val="nil"/>
                    <w:tr2bl w:val="nil"/>
                  </w:tcBorders>
                </w:tcPr>
                <w:p>
                  <w:pPr>
                    <w:ind w:left="525" w:leftChars="250"/>
                    <w:jc w:val="center"/>
                    <w:rPr>
                      <w:b/>
                      <w:sz w:val="72"/>
                      <w:szCs w:val="7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66" w:type="dxa"/>
                  <w:tcBorders>
                    <w:tl2br w:val="nil"/>
                    <w:tr2bl w:val="nil"/>
                  </w:tcBorders>
                </w:tcPr>
                <w:p>
                  <w:pPr>
                    <w:wordWrap w:val="0"/>
                    <w:ind w:left="525" w:leftChars="250"/>
                    <w:jc w:val="right"/>
                    <w:rPr>
                      <w:szCs w:val="28"/>
                    </w:rPr>
                  </w:pPr>
                </w:p>
              </w:tc>
              <w:tc>
                <w:tcPr>
                  <w:tcW w:w="3046" w:type="dxa"/>
                  <w:gridSpan w:val="2"/>
                  <w:tcBorders>
                    <w:tl2br w:val="nil"/>
                    <w:tr2bl w:val="nil"/>
                  </w:tcBorders>
                </w:tcPr>
                <w:p>
                  <w:pPr>
                    <w:wordWrap w:val="0"/>
                    <w:rPr>
                      <w:szCs w:val="28"/>
                    </w:rPr>
                  </w:pPr>
                  <w:r>
                    <w:rPr>
                      <w:szCs w:val="28"/>
                    </w:rPr>
                    <w:t>DB53/T XXX—2022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3" w:hRule="atLeast"/>
              </w:trPr>
              <w:tc>
                <w:tcPr>
                  <w:tcW w:w="5266" w:type="dxa"/>
                  <w:tcBorders>
                    <w:tl2br w:val="nil"/>
                    <w:tr2bl w:val="nil"/>
                  </w:tcBorders>
                </w:tcPr>
                <w:p>
                  <w:r>
                    <w:rPr>
                      <w:sz w:val="24"/>
                      <w:szCs w:val="32"/>
                    </w:rPr>
                    <w:t>P</w:t>
                  </w:r>
                </w:p>
              </w:tc>
              <w:tc>
                <w:tcPr>
                  <w:tcW w:w="3046" w:type="dxa"/>
                  <w:gridSpan w:val="2"/>
                  <w:tcBorders>
                    <w:tl2br w:val="nil"/>
                    <w:tr2bl w:val="nil"/>
                  </w:tcBorders>
                </w:tcPr>
                <w:p>
                  <w:r>
                    <w:rPr>
                      <w:sz w:val="24"/>
                    </w:rPr>
                    <w:t>备案号</w:t>
                  </w:r>
                </w:p>
              </w:tc>
            </w:tr>
          </w:tbl>
          <w:p>
            <w:pPr>
              <w:ind w:left="525" w:leftChars="250"/>
            </w:pPr>
          </w:p>
        </w:tc>
      </w:tr>
      <w:tr>
        <w:tblPrEx>
          <w:tblBorders>
            <w:top w:val="none" w:color="auto" w:sz="0" w:space="0"/>
            <w:left w:val="none" w:color="auto" w:sz="0" w:space="0"/>
            <w:bottom w:val="none" w:color="auto" w:sz="0" w:space="0"/>
            <w:right w:val="none" w:color="auto" w:sz="0" w:space="0"/>
            <w:insideH w:val="single" w:color="auto" w:sz="12" w:space="0"/>
            <w:insideV w:val="single" w:color="auto" w:sz="12" w:space="0"/>
          </w:tblBorders>
          <w:tblCellMar>
            <w:top w:w="0" w:type="dxa"/>
            <w:left w:w="108" w:type="dxa"/>
            <w:bottom w:w="0" w:type="dxa"/>
            <w:right w:w="108" w:type="dxa"/>
          </w:tblCellMar>
        </w:tblPrEx>
        <w:trPr>
          <w:trHeight w:val="1050" w:hRule="atLeast"/>
        </w:trPr>
        <w:tc>
          <w:tcPr>
            <w:tcW w:w="8528" w:type="dxa"/>
          </w:tcPr>
          <w:p>
            <w:pPr>
              <w:ind w:left="525" w:leftChars="250"/>
            </w:pPr>
          </w:p>
        </w:tc>
      </w:tr>
    </w:tbl>
    <w:p>
      <w:pPr>
        <w:jc w:val="center"/>
        <w:rPr>
          <w:sz w:val="44"/>
          <w:szCs w:val="44"/>
        </w:rPr>
      </w:pPr>
    </w:p>
    <w:p>
      <w:pPr>
        <w:jc w:val="center"/>
        <w:rPr>
          <w:rFonts w:eastAsiaTheme="minorEastAsia"/>
          <w:b/>
          <w:sz w:val="40"/>
          <w:szCs w:val="40"/>
        </w:rPr>
      </w:pPr>
      <w:r>
        <w:rPr>
          <w:rFonts w:hint="eastAsia" w:eastAsiaTheme="minorEastAsia"/>
          <w:b/>
          <w:sz w:val="40"/>
          <w:szCs w:val="40"/>
        </w:rPr>
        <w:t>云南省古城镇火灾防控技术规程</w:t>
      </w:r>
    </w:p>
    <w:p>
      <w:pPr>
        <w:jc w:val="center"/>
        <w:rPr>
          <w:rFonts w:hint="eastAsia" w:eastAsiaTheme="minorEastAsia"/>
          <w:b/>
          <w:sz w:val="40"/>
          <w:szCs w:val="40"/>
        </w:rPr>
      </w:pPr>
      <w:r>
        <w:rPr>
          <w:rFonts w:hint="eastAsia" w:eastAsiaTheme="minorEastAsia"/>
          <w:b/>
          <w:sz w:val="40"/>
          <w:szCs w:val="40"/>
        </w:rPr>
        <w:t>丽江古城篇</w:t>
      </w:r>
    </w:p>
    <w:p>
      <w:pPr>
        <w:jc w:val="center"/>
        <w:rPr>
          <w:rFonts w:hint="eastAsia" w:eastAsiaTheme="minorEastAsia"/>
          <w:b/>
          <w:sz w:val="40"/>
          <w:szCs w:val="40"/>
        </w:rPr>
      </w:pPr>
      <w:bookmarkStart w:id="34" w:name="_GoBack"/>
      <w:bookmarkEnd w:id="34"/>
    </w:p>
    <w:p>
      <w:pPr>
        <w:jc w:val="center"/>
        <w:rPr>
          <w:rFonts w:hint="eastAsia" w:eastAsia="黑体"/>
          <w:b/>
          <w:bCs/>
          <w:sz w:val="28"/>
          <w:szCs w:val="48"/>
        </w:rPr>
      </w:pPr>
      <w:r>
        <w:rPr>
          <w:rFonts w:hint="eastAsia" w:eastAsia="黑体"/>
          <w:b/>
          <w:bCs/>
          <w:sz w:val="28"/>
          <w:szCs w:val="48"/>
        </w:rPr>
        <w:t>Guidelines for fire protection of Lijiang Ancient Town</w:t>
      </w:r>
    </w:p>
    <w:p>
      <w:pPr>
        <w:jc w:val="center"/>
        <w:rPr>
          <w:rFonts w:hint="eastAsia" w:eastAsia="黑体"/>
          <w:b/>
          <w:bCs/>
          <w:sz w:val="28"/>
          <w:szCs w:val="48"/>
          <w:lang w:eastAsia="zh-CN"/>
        </w:rPr>
      </w:pPr>
      <w:r>
        <w:rPr>
          <w:rFonts w:hint="eastAsia" w:eastAsia="黑体"/>
          <w:b/>
          <w:bCs/>
          <w:sz w:val="28"/>
          <w:szCs w:val="48"/>
          <w:lang w:eastAsia="zh-CN"/>
        </w:rPr>
        <w:t>（</w:t>
      </w:r>
      <w:r>
        <w:rPr>
          <w:rFonts w:hint="eastAsia" w:eastAsia="黑体"/>
          <w:b/>
          <w:bCs/>
          <w:sz w:val="28"/>
          <w:szCs w:val="48"/>
          <w:lang w:val="en-US" w:eastAsia="zh-CN"/>
        </w:rPr>
        <w:t>征求意见稿</w:t>
      </w:r>
      <w:r>
        <w:rPr>
          <w:rFonts w:hint="eastAsia" w:eastAsia="黑体"/>
          <w:b/>
          <w:bCs/>
          <w:sz w:val="28"/>
          <w:szCs w:val="48"/>
          <w:lang w:eastAsia="zh-CN"/>
        </w:rPr>
        <w:t>）</w:t>
      </w:r>
    </w:p>
    <w:p>
      <w:pPr>
        <w:jc w:val="center"/>
        <w:rPr>
          <w:sz w:val="44"/>
          <w:szCs w:val="44"/>
        </w:rPr>
      </w:pPr>
    </w:p>
    <w:p>
      <w:pPr>
        <w:jc w:val="center"/>
        <w:rPr>
          <w:sz w:val="44"/>
          <w:szCs w:val="44"/>
        </w:rPr>
      </w:pPr>
    </w:p>
    <w:p>
      <w:pPr>
        <w:jc w:val="center"/>
        <w:rPr>
          <w:sz w:val="44"/>
          <w:szCs w:val="44"/>
        </w:rPr>
      </w:pPr>
    </w:p>
    <w:p>
      <w:pPr>
        <w:rPr>
          <w:sz w:val="44"/>
          <w:szCs w:val="44"/>
        </w:rPr>
      </w:pPr>
    </w:p>
    <w:p>
      <w:pPr>
        <w:jc w:val="center"/>
        <w:rPr>
          <w:sz w:val="44"/>
          <w:szCs w:val="44"/>
        </w:rPr>
      </w:pPr>
    </w:p>
    <w:tbl>
      <w:tblPr>
        <w:tblStyle w:val="11"/>
        <w:tblW w:w="8528"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335"/>
        <w:gridCol w:w="4193"/>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335" w:type="dxa"/>
          </w:tcPr>
          <w:p>
            <w:pPr>
              <w:rPr>
                <w:sz w:val="44"/>
                <w:szCs w:val="44"/>
              </w:rPr>
            </w:pPr>
          </w:p>
        </w:tc>
        <w:tc>
          <w:tcPr>
            <w:tcW w:w="4193" w:type="dxa"/>
          </w:tcPr>
          <w:p/>
          <w:p>
            <w:pPr>
              <w:pStyle w:val="17"/>
              <w:ind w:firstLine="560"/>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335" w:type="dxa"/>
            <w:tcBorders>
              <w:bottom w:val="single" w:color="auto" w:sz="12" w:space="0"/>
            </w:tcBorders>
          </w:tcPr>
          <w:p>
            <w:pPr>
              <w:pBdr>
                <w:bottom w:val="single" w:color="auto" w:sz="4" w:space="0"/>
              </w:pBdr>
              <w:autoSpaceDE w:val="0"/>
              <w:autoSpaceDN w:val="0"/>
              <w:adjustRightInd w:val="0"/>
              <w:spacing w:line="600" w:lineRule="exact"/>
              <w:jc w:val="left"/>
              <w:rPr>
                <w:szCs w:val="28"/>
              </w:rPr>
            </w:pPr>
            <w:r>
              <w:rPr>
                <w:rFonts w:eastAsia="黑体"/>
                <w:kern w:val="0"/>
              </w:rPr>
              <w:t>202</w:t>
            </w:r>
            <w:r>
              <w:rPr>
                <w:rFonts w:hint="eastAsia" w:eastAsia="黑体"/>
                <w:kern w:val="0"/>
              </w:rPr>
              <w:t>2</w:t>
            </w:r>
            <w:r>
              <w:rPr>
                <w:rFonts w:eastAsia="黑体"/>
                <w:kern w:val="0"/>
              </w:rPr>
              <w:t xml:space="preserve">-XX-XX发布                                         </w:t>
            </w:r>
          </w:p>
        </w:tc>
        <w:tc>
          <w:tcPr>
            <w:tcW w:w="4193" w:type="dxa"/>
            <w:tcBorders>
              <w:bottom w:val="single" w:color="auto" w:sz="12" w:space="0"/>
            </w:tcBorders>
          </w:tcPr>
          <w:p>
            <w:pPr>
              <w:pBdr>
                <w:bottom w:val="single" w:color="auto" w:sz="4" w:space="0"/>
              </w:pBdr>
              <w:autoSpaceDE w:val="0"/>
              <w:autoSpaceDN w:val="0"/>
              <w:adjustRightInd w:val="0"/>
              <w:spacing w:line="600" w:lineRule="exact"/>
              <w:jc w:val="left"/>
              <w:rPr>
                <w:szCs w:val="28"/>
              </w:rPr>
            </w:pPr>
            <w:r>
              <w:rPr>
                <w:rFonts w:eastAsia="黑体"/>
                <w:kern w:val="0"/>
              </w:rPr>
              <w:t>202</w:t>
            </w:r>
            <w:r>
              <w:rPr>
                <w:rFonts w:hint="eastAsia" w:eastAsia="黑体"/>
                <w:kern w:val="0"/>
              </w:rPr>
              <w:t>2</w:t>
            </w:r>
            <w:r>
              <w:rPr>
                <w:rFonts w:eastAsia="黑体"/>
                <w:kern w:val="0"/>
              </w:rPr>
              <w:t>-XX-XX</w:t>
            </w:r>
            <w:r>
              <w:rPr>
                <w:rFonts w:hint="eastAsia" w:eastAsia="黑体"/>
                <w:kern w:val="0"/>
              </w:rPr>
              <w:t>实施</w:t>
            </w:r>
            <w:r>
              <w:rPr>
                <w:rFonts w:eastAsia="黑体"/>
                <w:kern w:val="0"/>
              </w:rPr>
              <w:t xml:space="preserve">                           </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 w:hRule="atLeast"/>
        </w:trPr>
        <w:tc>
          <w:tcPr>
            <w:tcW w:w="4335" w:type="dxa"/>
            <w:tcBorders>
              <w:top w:val="single" w:color="auto" w:sz="12" w:space="0"/>
              <w:bottom w:val="nil"/>
            </w:tcBorders>
          </w:tcPr>
          <w:p>
            <w:pPr>
              <w:rPr>
                <w:szCs w:val="28"/>
              </w:rPr>
            </w:pPr>
          </w:p>
        </w:tc>
        <w:tc>
          <w:tcPr>
            <w:tcW w:w="4193" w:type="dxa"/>
            <w:tcBorders>
              <w:top w:val="single" w:color="auto" w:sz="12" w:space="0"/>
              <w:bottom w:val="nil"/>
            </w:tcBorders>
          </w:tcPr>
          <w:p>
            <w:pPr>
              <w:jc w:val="right"/>
              <w:rPr>
                <w:szCs w:val="28"/>
              </w:rPr>
            </w:pPr>
          </w:p>
        </w:tc>
      </w:tr>
    </w:tbl>
    <w:p>
      <w:pPr>
        <w:widowControl/>
        <w:jc w:val="center"/>
        <w:rPr>
          <w:b/>
          <w:szCs w:val="30"/>
        </w:rPr>
      </w:pPr>
      <w:r>
        <w:rPr>
          <w:rFonts w:hint="eastAsia"/>
          <w:b/>
          <w:sz w:val="36"/>
          <w:szCs w:val="36"/>
        </w:rPr>
        <w:t>云南省住房和城乡建设厅</w:t>
      </w:r>
      <w:r>
        <w:rPr>
          <w:rFonts w:hint="eastAsia"/>
          <w:b/>
          <w:szCs w:val="30"/>
        </w:rPr>
        <w:t>发布</w:t>
      </w:r>
    </w:p>
    <w:p/>
    <w:p>
      <w:pPr>
        <w:jc w:val="center"/>
        <w:rPr>
          <w:b/>
          <w:bCs/>
          <w:sz w:val="32"/>
          <w:szCs w:val="32"/>
        </w:rPr>
      </w:pPr>
    </w:p>
    <w:p>
      <w:pPr>
        <w:jc w:val="center"/>
        <w:rPr>
          <w:b/>
          <w:bCs/>
          <w:sz w:val="32"/>
          <w:szCs w:val="32"/>
        </w:rPr>
      </w:pPr>
    </w:p>
    <w:p>
      <w:pPr>
        <w:jc w:val="center"/>
        <w:rPr>
          <w:b/>
          <w:bCs/>
          <w:sz w:val="32"/>
          <w:szCs w:val="32"/>
        </w:rPr>
      </w:pPr>
    </w:p>
    <w:p>
      <w:pPr>
        <w:jc w:val="center"/>
        <w:rPr>
          <w:b/>
          <w:bCs/>
          <w:sz w:val="32"/>
          <w:szCs w:val="32"/>
        </w:rPr>
      </w:pPr>
    </w:p>
    <w:p>
      <w:pPr>
        <w:jc w:val="center"/>
        <w:rPr>
          <w:b/>
          <w:bCs/>
          <w:sz w:val="32"/>
          <w:szCs w:val="32"/>
        </w:rPr>
      </w:pPr>
    </w:p>
    <w:p>
      <w:pPr>
        <w:jc w:val="center"/>
        <w:rPr>
          <w:b/>
          <w:bCs/>
          <w:sz w:val="32"/>
          <w:szCs w:val="32"/>
        </w:rPr>
      </w:pPr>
    </w:p>
    <w:p>
      <w:pPr>
        <w:jc w:val="center"/>
        <w:rPr>
          <w:b/>
          <w:bCs/>
          <w:sz w:val="32"/>
          <w:szCs w:val="32"/>
        </w:rPr>
      </w:pPr>
    </w:p>
    <w:p>
      <w:pPr>
        <w:jc w:val="center"/>
        <w:rPr>
          <w:b/>
          <w:bCs/>
          <w:sz w:val="32"/>
          <w:szCs w:val="32"/>
        </w:rPr>
      </w:pPr>
    </w:p>
    <w:p>
      <w:pPr>
        <w:jc w:val="center"/>
        <w:rPr>
          <w:b/>
          <w:bCs/>
          <w:sz w:val="32"/>
          <w:szCs w:val="32"/>
        </w:rPr>
      </w:pPr>
    </w:p>
    <w:p>
      <w:pPr>
        <w:jc w:val="center"/>
        <w:rPr>
          <w:b/>
          <w:bCs/>
          <w:sz w:val="32"/>
          <w:szCs w:val="32"/>
        </w:rPr>
      </w:pPr>
    </w:p>
    <w:p>
      <w:pPr>
        <w:jc w:val="center"/>
        <w:rPr>
          <w:b/>
          <w:bCs/>
          <w:sz w:val="32"/>
          <w:szCs w:val="32"/>
        </w:rPr>
      </w:pPr>
    </w:p>
    <w:p>
      <w:pPr>
        <w:jc w:val="center"/>
        <w:rPr>
          <w:b/>
          <w:bCs/>
          <w:sz w:val="32"/>
          <w:szCs w:val="32"/>
        </w:rPr>
      </w:pPr>
    </w:p>
    <w:p>
      <w:pPr>
        <w:jc w:val="center"/>
        <w:rPr>
          <w:b/>
          <w:bCs/>
          <w:sz w:val="32"/>
          <w:szCs w:val="32"/>
        </w:rPr>
      </w:pPr>
    </w:p>
    <w:p>
      <w:pPr>
        <w:jc w:val="center"/>
        <w:rPr>
          <w:b/>
          <w:bCs/>
          <w:sz w:val="32"/>
          <w:szCs w:val="32"/>
        </w:rPr>
      </w:pPr>
    </w:p>
    <w:p>
      <w:pPr>
        <w:jc w:val="center"/>
        <w:rPr>
          <w:b/>
          <w:bCs/>
          <w:sz w:val="32"/>
          <w:szCs w:val="32"/>
        </w:rPr>
      </w:pPr>
    </w:p>
    <w:p>
      <w:pPr>
        <w:jc w:val="center"/>
        <w:rPr>
          <w:b/>
          <w:bCs/>
          <w:sz w:val="32"/>
          <w:szCs w:val="32"/>
        </w:rPr>
      </w:pPr>
    </w:p>
    <w:p>
      <w:pPr>
        <w:jc w:val="center"/>
        <w:rPr>
          <w:b/>
          <w:bCs/>
          <w:sz w:val="32"/>
          <w:szCs w:val="32"/>
        </w:rPr>
      </w:pPr>
    </w:p>
    <w:p>
      <w:pPr>
        <w:jc w:val="center"/>
        <w:rPr>
          <w:b/>
          <w:bCs/>
          <w:sz w:val="32"/>
          <w:szCs w:val="32"/>
        </w:rPr>
      </w:pPr>
    </w:p>
    <w:p>
      <w:pPr>
        <w:jc w:val="center"/>
        <w:rPr>
          <w:b/>
          <w:bCs/>
          <w:sz w:val="32"/>
          <w:szCs w:val="32"/>
        </w:rPr>
      </w:pPr>
    </w:p>
    <w:p>
      <w:pPr>
        <w:jc w:val="center"/>
        <w:rPr>
          <w:b/>
          <w:bCs/>
          <w:sz w:val="32"/>
          <w:szCs w:val="32"/>
        </w:rPr>
      </w:pPr>
    </w:p>
    <w:p>
      <w:pPr>
        <w:jc w:val="center"/>
        <w:rPr>
          <w:b/>
          <w:bCs/>
          <w:sz w:val="32"/>
          <w:szCs w:val="32"/>
        </w:rPr>
      </w:pPr>
    </w:p>
    <w:p>
      <w:pPr>
        <w:jc w:val="center"/>
        <w:rPr>
          <w:b/>
          <w:bCs/>
          <w:sz w:val="32"/>
          <w:szCs w:val="32"/>
        </w:rPr>
      </w:pPr>
    </w:p>
    <w:p>
      <w:pPr>
        <w:jc w:val="center"/>
        <w:rPr>
          <w:b/>
          <w:bCs/>
          <w:sz w:val="32"/>
          <w:szCs w:val="32"/>
        </w:rPr>
      </w:pPr>
      <w:r>
        <w:rPr>
          <w:rFonts w:hint="eastAsia"/>
          <w:b/>
          <w:bCs/>
          <w:sz w:val="32"/>
          <w:szCs w:val="32"/>
        </w:rPr>
        <w:t>前言</w:t>
      </w:r>
    </w:p>
    <w:p>
      <w:pPr>
        <w:spacing w:line="360" w:lineRule="auto"/>
        <w:ind w:firstLine="420" w:firstLineChars="175"/>
        <w:rPr>
          <w:sz w:val="24"/>
          <w:shd w:val="clear" w:color="auto" w:fill="FFFFFF"/>
        </w:rPr>
      </w:pPr>
      <w:r>
        <w:rPr>
          <w:sz w:val="24"/>
          <w:shd w:val="clear" w:color="auto" w:fill="FFFFFF"/>
        </w:rPr>
        <w:t>本导则是云南省消防救援总队、丽江</w:t>
      </w:r>
      <w:r>
        <w:rPr>
          <w:rFonts w:hint="eastAsia"/>
          <w:sz w:val="24"/>
          <w:shd w:val="clear" w:color="auto" w:fill="FFFFFF"/>
        </w:rPr>
        <w:t>市</w:t>
      </w:r>
      <w:r>
        <w:rPr>
          <w:sz w:val="24"/>
          <w:shd w:val="clear" w:color="auto" w:fill="FFFFFF"/>
        </w:rPr>
        <w:t>消防救援支队、昆明理工大学会同相关单位，在《建筑设计防火规范》GB50016-2014、</w:t>
      </w:r>
      <w:r>
        <w:rPr>
          <w:rFonts w:hint="eastAsia"/>
          <w:sz w:val="24"/>
          <w:shd w:val="clear" w:color="auto" w:fill="FFFFFF"/>
        </w:rPr>
        <w:t>《农村防火规范》（GB50039-2010）、</w:t>
      </w:r>
      <w:r>
        <w:rPr>
          <w:sz w:val="24"/>
          <w:shd w:val="clear" w:color="auto" w:fill="FFFFFF"/>
        </w:rPr>
        <w:t>原公安部消防局《古城镇</w:t>
      </w:r>
      <w:r>
        <w:rPr>
          <w:rFonts w:hint="eastAsia"/>
          <w:sz w:val="24"/>
          <w:shd w:val="clear" w:color="auto" w:fill="FFFFFF"/>
        </w:rPr>
        <w:t>和</w:t>
      </w:r>
      <w:r>
        <w:rPr>
          <w:sz w:val="24"/>
          <w:shd w:val="clear" w:color="auto" w:fill="FFFFFF"/>
        </w:rPr>
        <w:t>村寨火灾防控技术指导意见》（2014）、《丽江古城消防安全管理办法》（</w:t>
      </w:r>
      <w:r>
        <w:rPr>
          <w:rFonts w:hint="eastAsia"/>
          <w:sz w:val="24"/>
          <w:shd w:val="clear" w:color="auto" w:fill="FFFFFF"/>
        </w:rPr>
        <w:t xml:space="preserve">云府登1040号 </w:t>
      </w:r>
      <w:r>
        <w:rPr>
          <w:sz w:val="24"/>
          <w:shd w:val="clear" w:color="auto" w:fill="FFFFFF"/>
        </w:rPr>
        <w:t>2013）和《丽江大研古城建筑消防安全保障标准》</w:t>
      </w:r>
      <w:r>
        <w:rPr>
          <w:rFonts w:hint="eastAsia"/>
          <w:sz w:val="24"/>
          <w:shd w:val="clear" w:color="auto" w:fill="FFFFFF"/>
        </w:rPr>
        <w:t>（2013）</w:t>
      </w:r>
      <w:r>
        <w:rPr>
          <w:sz w:val="24"/>
          <w:shd w:val="clear" w:color="auto" w:fill="FFFFFF"/>
        </w:rPr>
        <w:t>的基础上，结合丽江古城的实际情况和近年来的工程实践，整合修订而成。</w:t>
      </w:r>
    </w:p>
    <w:p>
      <w:pPr>
        <w:spacing w:line="360" w:lineRule="auto"/>
        <w:ind w:firstLine="420" w:firstLineChars="175"/>
        <w:rPr>
          <w:sz w:val="24"/>
          <w:shd w:val="clear" w:color="auto" w:fill="FFFFFF"/>
        </w:rPr>
      </w:pPr>
      <w:r>
        <w:rPr>
          <w:rFonts w:hint="eastAsia"/>
          <w:sz w:val="24"/>
          <w:shd w:val="clear" w:color="auto" w:fill="FFFFFF"/>
        </w:rPr>
        <w:t>本导则在修订过程中，在贯彻“预防为主，防消结合”的消防工作方针的基础上，充分考虑到丽江古城世界文化遗产保护的特殊性，优先利用或改造现有的消防基础设施，遵循最小干预的原则，力求实现传统风貌保护与消防安全并重的目标。为达成上述目标，导则制定过程中，充分分析了丽江大研古城、束河古镇、白沙古镇现场勘察数据，深刻吸取了近年来我省历次传统村镇火灾事故教训，认真总结了国内古城镇火灾实践经验和消防科技成果，深入调研了丽江古城在开发、利用和消防监督过程中遇到的疑难问题，开展了相关课题研究和技术研讨，征求了有关设计、建设、科研和消防监督等单位意见，最后经审查定稿。</w:t>
      </w:r>
    </w:p>
    <w:p>
      <w:pPr>
        <w:spacing w:line="360" w:lineRule="auto"/>
        <w:ind w:firstLine="420" w:firstLineChars="175"/>
        <w:rPr>
          <w:sz w:val="24"/>
          <w:shd w:val="clear" w:color="auto" w:fill="FFFFFF"/>
        </w:rPr>
      </w:pPr>
      <w:r>
        <w:rPr>
          <w:rFonts w:hint="eastAsia"/>
          <w:sz w:val="24"/>
          <w:shd w:val="clear" w:color="auto" w:fill="FFFFFF"/>
        </w:rPr>
        <w:t>本导则共分8章和5个附录。主要内容有：现场勘察与消防安全评估的相关要求；消防安全布局、丽江古城蔓延风险等级、消防分区、消防道路等相关技术要求；消防站点、市政管网等公共消防资源的设置要求；在建筑防火方面，规定了在不同消防分区进行修缮、改建和扩建的技术要求，丽江古城住宅、商铺、客栈、餐馆等常见各类场所在建筑、消防系统、报警系统、电气等方面的相关消防技术要求。</w:t>
      </w:r>
    </w:p>
    <w:p>
      <w:pPr>
        <w:spacing w:line="360" w:lineRule="auto"/>
        <w:ind w:firstLine="420" w:firstLineChars="175"/>
        <w:rPr>
          <w:sz w:val="24"/>
          <w:shd w:val="clear" w:color="auto" w:fill="FFFFFF"/>
        </w:rPr>
      </w:pPr>
      <w:r>
        <w:rPr>
          <w:rFonts w:hint="eastAsia"/>
          <w:sz w:val="24"/>
          <w:shd w:val="clear" w:color="auto" w:fill="FFFFFF"/>
        </w:rPr>
        <w:t>与原</w:t>
      </w:r>
      <w:r>
        <w:rPr>
          <w:sz w:val="24"/>
          <w:shd w:val="clear" w:color="auto" w:fill="FFFFFF"/>
        </w:rPr>
        <w:t>《丽江大研古城建筑消防安全保障标准》</w:t>
      </w:r>
      <w:r>
        <w:rPr>
          <w:rFonts w:hint="eastAsia"/>
          <w:sz w:val="24"/>
          <w:shd w:val="clear" w:color="auto" w:fill="FFFFFF"/>
        </w:rPr>
        <w:t>相比，本导则主要有以下变化：</w:t>
      </w:r>
    </w:p>
    <w:p>
      <w:pPr>
        <w:numPr>
          <w:ilvl w:val="0"/>
          <w:numId w:val="1"/>
        </w:numPr>
        <w:spacing w:line="360" w:lineRule="auto"/>
        <w:ind w:firstLine="480" w:firstLineChars="200"/>
        <w:rPr>
          <w:sz w:val="24"/>
          <w:shd w:val="clear" w:color="auto" w:fill="FFFFFF"/>
        </w:rPr>
      </w:pPr>
      <w:r>
        <w:rPr>
          <w:rFonts w:hint="eastAsia"/>
          <w:sz w:val="24"/>
          <w:shd w:val="clear" w:color="auto" w:fill="FFFFFF"/>
        </w:rPr>
        <w:t>适用范围更宽，本导则除适用于大研古城外，还适用于束河古镇和白沙古镇。</w:t>
      </w:r>
    </w:p>
    <w:p>
      <w:pPr>
        <w:numPr>
          <w:ilvl w:val="0"/>
          <w:numId w:val="1"/>
        </w:numPr>
        <w:spacing w:line="360" w:lineRule="auto"/>
        <w:ind w:firstLine="480" w:firstLineChars="200"/>
        <w:rPr>
          <w:sz w:val="24"/>
          <w:shd w:val="clear" w:color="auto" w:fill="FFFFFF"/>
        </w:rPr>
      </w:pPr>
      <w:r>
        <w:rPr>
          <w:rFonts w:hint="eastAsia"/>
          <w:sz w:val="24"/>
          <w:shd w:val="clear" w:color="auto" w:fill="FFFFFF"/>
        </w:rPr>
        <w:t>编制体例上有重大调整。丽江古城是连片建设的既有古建筑群，很多地方无法按现行国家标准进行消防分区并配置相应消防基础设施，存在较大的火灾蔓延隐患，同时，随着古城旅游资源的开发利用，古城内设置了大量酒吧、餐馆、客栈等火灾风险相对较大的场所。因此，丽江古城的火灾防控，必须同时考虑区域火灾蔓延防控和场所火灾防控问题。原</w:t>
      </w:r>
      <w:r>
        <w:rPr>
          <w:sz w:val="24"/>
          <w:shd w:val="clear" w:color="auto" w:fill="FFFFFF"/>
        </w:rPr>
        <w:t>《丽江大研古城建筑消防安全保障标准》</w:t>
      </w:r>
      <w:r>
        <w:rPr>
          <w:rFonts w:hint="eastAsia"/>
          <w:sz w:val="24"/>
          <w:shd w:val="clear" w:color="auto" w:fill="FFFFFF"/>
        </w:rPr>
        <w:t>主要规定了丽江大研古城内各类场所的消防安全技术要求，其优点在于便于落实相关技术措施和消防监督检查，缺点是对区域火灾蔓延防控考虑不充分。针对该问题，本导则修订过程中在编制体例上做了大幅调整，引入了消防安全布局、消防分区等相关内容，给出分区域（分级）、分类保护的规定和不同区域火灾蔓延防控的技术要求；同时，为便于古城内量大面广的各类小规模经营场所的消防安全保护和监督检查，在建筑火灾防控技术要求部分，保留了原</w:t>
      </w:r>
      <w:r>
        <w:rPr>
          <w:sz w:val="24"/>
          <w:shd w:val="clear" w:color="auto" w:fill="FFFFFF"/>
        </w:rPr>
        <w:t>《丽江大研古城建筑消防安全保障标准》</w:t>
      </w:r>
      <w:r>
        <w:rPr>
          <w:rFonts w:hint="eastAsia"/>
          <w:sz w:val="24"/>
          <w:shd w:val="clear" w:color="auto" w:fill="FFFFFF"/>
        </w:rPr>
        <w:t>的体例形式。</w:t>
      </w:r>
    </w:p>
    <w:p>
      <w:pPr>
        <w:numPr>
          <w:ilvl w:val="0"/>
          <w:numId w:val="1"/>
        </w:numPr>
        <w:spacing w:line="360" w:lineRule="auto"/>
        <w:ind w:firstLine="480" w:firstLineChars="200"/>
        <w:rPr>
          <w:sz w:val="24"/>
          <w:shd w:val="clear" w:color="auto" w:fill="FFFFFF"/>
        </w:rPr>
      </w:pPr>
      <w:r>
        <w:rPr>
          <w:rFonts w:hint="eastAsia"/>
          <w:sz w:val="24"/>
          <w:shd w:val="clear" w:color="auto" w:fill="FFFFFF"/>
        </w:rPr>
        <w:t>本导则编制过程中分析总结了丽江市消防救援支队实地调研和近年来执行《</w:t>
      </w:r>
      <w:r>
        <w:rPr>
          <w:sz w:val="24"/>
          <w:shd w:val="clear" w:color="auto" w:fill="FFFFFF"/>
        </w:rPr>
        <w:t>丽江大研古城建筑消防安全保障标准</w:t>
      </w:r>
      <w:r>
        <w:rPr>
          <w:rFonts w:hint="eastAsia"/>
          <w:sz w:val="24"/>
          <w:shd w:val="clear" w:color="auto" w:fill="FFFFFF"/>
        </w:rPr>
        <w:t>》遇到的普遍问题和技术难点，对其中常见的酒吧、商铺、多合一、客栈等场所在监管过程中面临的问题进行了界定和规范。</w:t>
      </w:r>
    </w:p>
    <w:p>
      <w:pPr>
        <w:spacing w:line="360" w:lineRule="auto"/>
        <w:ind w:firstLine="480" w:firstLineChars="200"/>
        <w:rPr>
          <w:sz w:val="24"/>
        </w:rPr>
      </w:pPr>
      <w:r>
        <w:rPr>
          <w:rFonts w:hint="eastAsia" w:ascii="宋体" w:hAnsi="宋体"/>
          <w:sz w:val="24"/>
        </w:rPr>
        <w:t>本导则由丽江市消防救援总队会同有关单位编制完成，执行过程中如有意见或建议，请寄送解释单位（地址：</w:t>
      </w:r>
      <w:r>
        <w:rPr>
          <w:rFonts w:ascii="宋体" w:hAnsi="宋体"/>
          <w:sz w:val="24"/>
        </w:rPr>
        <w:t>云南省</w:t>
      </w:r>
      <w:r>
        <w:rPr>
          <w:rFonts w:hint="eastAsia" w:ascii="宋体" w:hAnsi="宋体"/>
          <w:sz w:val="24"/>
        </w:rPr>
        <w:t>昆明市官渡区海塘路6</w:t>
      </w:r>
      <w:r>
        <w:rPr>
          <w:rFonts w:ascii="宋体" w:hAnsi="宋体"/>
          <w:sz w:val="24"/>
        </w:rPr>
        <w:t>66</w:t>
      </w:r>
      <w:r>
        <w:rPr>
          <w:rFonts w:hint="eastAsia" w:ascii="宋体" w:hAnsi="宋体"/>
          <w:sz w:val="24"/>
        </w:rPr>
        <w:t>号</w:t>
      </w:r>
      <w:r>
        <w:rPr>
          <w:sz w:val="24"/>
        </w:rPr>
        <w:t>，</w:t>
      </w:r>
    </w:p>
    <w:p>
      <w:pPr>
        <w:spacing w:line="360" w:lineRule="auto"/>
        <w:ind w:firstLine="480" w:firstLineChars="200"/>
        <w:rPr>
          <w:rFonts w:ascii="宋体" w:hAnsi="宋体"/>
          <w:sz w:val="24"/>
        </w:rPr>
      </w:pPr>
      <w:r>
        <w:rPr>
          <w:sz w:val="24"/>
        </w:rPr>
        <w:t>邮编：650000）</w:t>
      </w:r>
      <w:r>
        <w:rPr>
          <w:rFonts w:hint="eastAsia"/>
          <w:sz w:val="24"/>
        </w:rPr>
        <w:t>.</w:t>
      </w:r>
    </w:p>
    <w:p>
      <w:pPr>
        <w:spacing w:line="360" w:lineRule="auto"/>
        <w:ind w:firstLine="480" w:firstLineChars="200"/>
        <w:rPr>
          <w:rFonts w:ascii="宋体" w:hAnsi="宋体"/>
          <w:sz w:val="24"/>
        </w:rPr>
      </w:pPr>
      <w:r>
        <w:rPr>
          <w:rFonts w:hint="eastAsia" w:ascii="宋体" w:hAnsi="宋体"/>
          <w:sz w:val="24"/>
        </w:rPr>
        <w:t>主编单位：</w:t>
      </w:r>
      <w:r>
        <w:rPr>
          <w:rFonts w:ascii="宋体" w:hAnsi="宋体"/>
          <w:sz w:val="24"/>
        </w:rPr>
        <w:t xml:space="preserve"> </w:t>
      </w:r>
    </w:p>
    <w:p>
      <w:pPr>
        <w:spacing w:line="360" w:lineRule="auto"/>
        <w:ind w:firstLine="480" w:firstLineChars="200"/>
        <w:rPr>
          <w:rFonts w:ascii="宋体" w:hAnsi="宋体"/>
          <w:sz w:val="24"/>
        </w:rPr>
      </w:pPr>
    </w:p>
    <w:p>
      <w:pPr>
        <w:spacing w:line="360" w:lineRule="auto"/>
        <w:ind w:firstLine="480" w:firstLineChars="200"/>
        <w:rPr>
          <w:rFonts w:hint="eastAsia" w:ascii="宋体" w:hAnsi="宋体"/>
          <w:sz w:val="24"/>
        </w:rPr>
      </w:pPr>
    </w:p>
    <w:p>
      <w:pPr>
        <w:spacing w:line="360" w:lineRule="auto"/>
        <w:ind w:firstLine="480" w:firstLineChars="200"/>
        <w:rPr>
          <w:rFonts w:ascii="宋体" w:hAnsi="宋体"/>
          <w:sz w:val="24"/>
        </w:rPr>
      </w:pPr>
      <w:r>
        <w:rPr>
          <w:rFonts w:hint="eastAsia" w:ascii="宋体" w:hAnsi="宋体"/>
          <w:sz w:val="24"/>
        </w:rPr>
        <w:t>参编单位：</w:t>
      </w:r>
      <w:r>
        <w:rPr>
          <w:rFonts w:ascii="宋体" w:hAnsi="宋体"/>
          <w:sz w:val="24"/>
        </w:rPr>
        <w:t xml:space="preserve"> </w:t>
      </w:r>
    </w:p>
    <w:p>
      <w:pPr>
        <w:spacing w:line="360" w:lineRule="auto"/>
        <w:ind w:firstLine="480" w:firstLineChars="200"/>
        <w:rPr>
          <w:rFonts w:ascii="宋体" w:hAnsi="宋体"/>
          <w:sz w:val="24"/>
        </w:rPr>
      </w:pPr>
    </w:p>
    <w:p>
      <w:pPr>
        <w:spacing w:line="360" w:lineRule="auto"/>
        <w:ind w:firstLine="480" w:firstLineChars="200"/>
        <w:rPr>
          <w:rFonts w:ascii="宋体" w:hAnsi="宋体"/>
          <w:sz w:val="24"/>
        </w:rPr>
      </w:pPr>
      <w:r>
        <w:rPr>
          <w:rFonts w:hint="eastAsia" w:ascii="宋体" w:hAnsi="宋体"/>
          <w:sz w:val="24"/>
        </w:rPr>
        <w:t>主要起草人：</w:t>
      </w:r>
      <w:r>
        <w:rPr>
          <w:rFonts w:ascii="宋体" w:hAnsi="宋体"/>
          <w:sz w:val="24"/>
        </w:rPr>
        <w:t xml:space="preserve"> </w:t>
      </w:r>
    </w:p>
    <w:p>
      <w:pPr>
        <w:spacing w:line="360" w:lineRule="auto"/>
        <w:ind w:firstLine="480" w:firstLineChars="200"/>
        <w:rPr>
          <w:rFonts w:ascii="宋体" w:hAnsi="宋体"/>
          <w:sz w:val="24"/>
        </w:rPr>
      </w:pPr>
    </w:p>
    <w:p>
      <w:pPr>
        <w:spacing w:line="360" w:lineRule="auto"/>
        <w:ind w:firstLine="480" w:firstLineChars="200"/>
        <w:rPr>
          <w:rFonts w:hint="eastAsia" w:ascii="宋体" w:hAnsi="宋体"/>
          <w:sz w:val="24"/>
        </w:rPr>
      </w:pPr>
    </w:p>
    <w:p>
      <w:pPr>
        <w:spacing w:line="360" w:lineRule="auto"/>
        <w:ind w:firstLine="480" w:firstLineChars="200"/>
        <w:rPr>
          <w:rFonts w:ascii="宋体" w:hAnsi="宋体"/>
          <w:sz w:val="24"/>
        </w:rPr>
      </w:pPr>
      <w:r>
        <w:rPr>
          <w:rFonts w:hint="eastAsia" w:ascii="宋体" w:hAnsi="宋体"/>
          <w:sz w:val="24"/>
        </w:rPr>
        <w:t>主要审查人：</w:t>
      </w:r>
    </w:p>
    <w:p>
      <w:pPr>
        <w:jc w:val="left"/>
        <w:rPr>
          <w:b/>
        </w:rPr>
        <w:sectPr>
          <w:pgSz w:w="11906" w:h="16838"/>
          <w:pgMar w:top="1440" w:right="1800" w:bottom="1440" w:left="1800" w:header="851" w:footer="992" w:gutter="0"/>
          <w:cols w:space="425" w:num="1"/>
          <w:docGrid w:type="lines" w:linePitch="312" w:charSpace="0"/>
        </w:sectPr>
      </w:pPr>
    </w:p>
    <w:p/>
    <w:sdt>
      <w:sdtPr>
        <w:rPr>
          <w:rFonts w:ascii="宋体" w:hAnsi="宋体"/>
        </w:rPr>
        <w:id w:val="147465246"/>
        <w15:color w:val="DBDBDB"/>
        <w:docPartObj>
          <w:docPartGallery w:val="Table of Contents"/>
          <w:docPartUnique/>
        </w:docPartObj>
      </w:sdtPr>
      <w:sdtEndPr>
        <w:rPr>
          <w:rFonts w:ascii="宋体" w:hAnsi="宋体"/>
        </w:rPr>
      </w:sdtEndPr>
      <w:sdtContent>
        <w:p>
          <w:pPr>
            <w:jc w:val="center"/>
          </w:pPr>
          <w:r>
            <w:rPr>
              <w:rFonts w:ascii="宋体" w:hAnsi="宋体"/>
            </w:rPr>
            <w:t>目录</w:t>
          </w:r>
        </w:p>
        <w:p>
          <w:pPr>
            <w:pStyle w:val="7"/>
            <w:tabs>
              <w:tab w:val="right" w:leader="dot" w:pos="8306"/>
            </w:tabs>
            <w:spacing w:line="300" w:lineRule="exact"/>
            <w:rPr>
              <w:sz w:val="18"/>
              <w:szCs w:val="18"/>
            </w:rPr>
          </w:pPr>
          <w:r>
            <w:fldChar w:fldCharType="begin"/>
          </w:r>
          <w:r>
            <w:instrText xml:space="preserve">TOC \o "1-3" \h \u </w:instrText>
          </w:r>
          <w:r>
            <w:fldChar w:fldCharType="separate"/>
          </w:r>
          <w:r>
            <w:fldChar w:fldCharType="begin"/>
          </w:r>
          <w:r>
            <w:instrText xml:space="preserve"> HYPERLINK \l "_Toc25480" </w:instrText>
          </w:r>
          <w:r>
            <w:fldChar w:fldCharType="separate"/>
          </w:r>
          <w:r>
            <w:rPr>
              <w:rFonts w:hint="eastAsia"/>
              <w:sz w:val="18"/>
              <w:szCs w:val="18"/>
            </w:rPr>
            <w:t>1.总则</w:t>
          </w:r>
          <w:r>
            <w:rPr>
              <w:sz w:val="18"/>
              <w:szCs w:val="18"/>
            </w:rPr>
            <w:tab/>
          </w:r>
          <w:r>
            <w:rPr>
              <w:sz w:val="18"/>
              <w:szCs w:val="18"/>
            </w:rPr>
            <w:fldChar w:fldCharType="begin"/>
          </w:r>
          <w:r>
            <w:rPr>
              <w:sz w:val="18"/>
              <w:szCs w:val="18"/>
            </w:rPr>
            <w:instrText xml:space="preserve"> PAGEREF _Toc25480 \h </w:instrText>
          </w:r>
          <w:r>
            <w:rPr>
              <w:sz w:val="18"/>
              <w:szCs w:val="18"/>
            </w:rPr>
            <w:fldChar w:fldCharType="separate"/>
          </w:r>
          <w:r>
            <w:rPr>
              <w:sz w:val="18"/>
              <w:szCs w:val="18"/>
            </w:rPr>
            <w:t>3</w:t>
          </w:r>
          <w:r>
            <w:rPr>
              <w:sz w:val="18"/>
              <w:szCs w:val="18"/>
            </w:rPr>
            <w:fldChar w:fldCharType="end"/>
          </w:r>
          <w:r>
            <w:rPr>
              <w:sz w:val="18"/>
              <w:szCs w:val="18"/>
            </w:rPr>
            <w:fldChar w:fldCharType="end"/>
          </w:r>
        </w:p>
        <w:p>
          <w:pPr>
            <w:pStyle w:val="7"/>
            <w:tabs>
              <w:tab w:val="right" w:leader="dot" w:pos="8306"/>
            </w:tabs>
            <w:spacing w:line="300" w:lineRule="exact"/>
            <w:rPr>
              <w:sz w:val="18"/>
              <w:szCs w:val="18"/>
            </w:rPr>
          </w:pPr>
          <w:r>
            <w:fldChar w:fldCharType="begin"/>
          </w:r>
          <w:r>
            <w:instrText xml:space="preserve"> HYPERLINK \l "_Toc14999" </w:instrText>
          </w:r>
          <w:r>
            <w:fldChar w:fldCharType="separate"/>
          </w:r>
          <w:r>
            <w:rPr>
              <w:rFonts w:hint="eastAsia"/>
              <w:sz w:val="18"/>
              <w:szCs w:val="18"/>
            </w:rPr>
            <w:t>2. 规范性引用文件</w:t>
          </w:r>
          <w:r>
            <w:rPr>
              <w:sz w:val="18"/>
              <w:szCs w:val="18"/>
            </w:rPr>
            <w:tab/>
          </w:r>
          <w:r>
            <w:rPr>
              <w:sz w:val="18"/>
              <w:szCs w:val="18"/>
            </w:rPr>
            <w:fldChar w:fldCharType="begin"/>
          </w:r>
          <w:r>
            <w:rPr>
              <w:sz w:val="18"/>
              <w:szCs w:val="18"/>
            </w:rPr>
            <w:instrText xml:space="preserve"> PAGEREF _Toc14999 \h </w:instrText>
          </w:r>
          <w:r>
            <w:rPr>
              <w:sz w:val="18"/>
              <w:szCs w:val="18"/>
            </w:rPr>
            <w:fldChar w:fldCharType="separate"/>
          </w:r>
          <w:r>
            <w:rPr>
              <w:sz w:val="18"/>
              <w:szCs w:val="18"/>
            </w:rPr>
            <w:t>4</w:t>
          </w:r>
          <w:r>
            <w:rPr>
              <w:sz w:val="18"/>
              <w:szCs w:val="18"/>
            </w:rPr>
            <w:fldChar w:fldCharType="end"/>
          </w:r>
          <w:r>
            <w:rPr>
              <w:sz w:val="18"/>
              <w:szCs w:val="18"/>
            </w:rPr>
            <w:fldChar w:fldCharType="end"/>
          </w:r>
        </w:p>
        <w:p>
          <w:pPr>
            <w:pStyle w:val="7"/>
            <w:tabs>
              <w:tab w:val="right" w:leader="dot" w:pos="8306"/>
            </w:tabs>
            <w:spacing w:line="300" w:lineRule="exact"/>
            <w:rPr>
              <w:sz w:val="18"/>
              <w:szCs w:val="18"/>
            </w:rPr>
          </w:pPr>
          <w:r>
            <w:fldChar w:fldCharType="begin"/>
          </w:r>
          <w:r>
            <w:instrText xml:space="preserve"> HYPERLINK \l "_Toc31222" </w:instrText>
          </w:r>
          <w:r>
            <w:fldChar w:fldCharType="separate"/>
          </w:r>
          <w:r>
            <w:rPr>
              <w:rFonts w:hint="eastAsia"/>
              <w:sz w:val="18"/>
              <w:szCs w:val="18"/>
            </w:rPr>
            <w:t>3.术语</w:t>
          </w:r>
          <w:r>
            <w:rPr>
              <w:sz w:val="18"/>
              <w:szCs w:val="18"/>
            </w:rPr>
            <w:tab/>
          </w:r>
          <w:r>
            <w:rPr>
              <w:sz w:val="18"/>
              <w:szCs w:val="18"/>
            </w:rPr>
            <w:fldChar w:fldCharType="begin"/>
          </w:r>
          <w:r>
            <w:rPr>
              <w:sz w:val="18"/>
              <w:szCs w:val="18"/>
            </w:rPr>
            <w:instrText xml:space="preserve"> PAGEREF _Toc31222 \h </w:instrText>
          </w:r>
          <w:r>
            <w:rPr>
              <w:sz w:val="18"/>
              <w:szCs w:val="18"/>
            </w:rPr>
            <w:fldChar w:fldCharType="separate"/>
          </w:r>
          <w:r>
            <w:rPr>
              <w:sz w:val="18"/>
              <w:szCs w:val="18"/>
            </w:rPr>
            <w:t>5</w:t>
          </w:r>
          <w:r>
            <w:rPr>
              <w:sz w:val="18"/>
              <w:szCs w:val="18"/>
            </w:rPr>
            <w:fldChar w:fldCharType="end"/>
          </w:r>
          <w:r>
            <w:rPr>
              <w:sz w:val="18"/>
              <w:szCs w:val="18"/>
            </w:rPr>
            <w:fldChar w:fldCharType="end"/>
          </w:r>
        </w:p>
        <w:p>
          <w:pPr>
            <w:pStyle w:val="7"/>
            <w:tabs>
              <w:tab w:val="right" w:leader="dot" w:pos="8306"/>
            </w:tabs>
            <w:spacing w:line="300" w:lineRule="exact"/>
            <w:rPr>
              <w:sz w:val="18"/>
              <w:szCs w:val="18"/>
            </w:rPr>
          </w:pPr>
          <w:r>
            <w:fldChar w:fldCharType="begin"/>
          </w:r>
          <w:r>
            <w:instrText xml:space="preserve"> HYPERLINK \l "_Toc28510" </w:instrText>
          </w:r>
          <w:r>
            <w:fldChar w:fldCharType="separate"/>
          </w:r>
          <w:r>
            <w:rPr>
              <w:rFonts w:hint="eastAsia"/>
              <w:sz w:val="18"/>
              <w:szCs w:val="18"/>
            </w:rPr>
            <w:t>4.现场勘查与消防安全评估</w:t>
          </w:r>
          <w:r>
            <w:rPr>
              <w:sz w:val="18"/>
              <w:szCs w:val="18"/>
            </w:rPr>
            <w:tab/>
          </w:r>
          <w:r>
            <w:rPr>
              <w:sz w:val="18"/>
              <w:szCs w:val="18"/>
            </w:rPr>
            <w:fldChar w:fldCharType="begin"/>
          </w:r>
          <w:r>
            <w:rPr>
              <w:sz w:val="18"/>
              <w:szCs w:val="18"/>
            </w:rPr>
            <w:instrText xml:space="preserve"> PAGEREF _Toc28510 \h </w:instrText>
          </w:r>
          <w:r>
            <w:rPr>
              <w:sz w:val="18"/>
              <w:szCs w:val="18"/>
            </w:rPr>
            <w:fldChar w:fldCharType="separate"/>
          </w:r>
          <w:r>
            <w:rPr>
              <w:sz w:val="18"/>
              <w:szCs w:val="18"/>
            </w:rPr>
            <w:t>7</w:t>
          </w:r>
          <w:r>
            <w:rPr>
              <w:sz w:val="18"/>
              <w:szCs w:val="18"/>
            </w:rPr>
            <w:fldChar w:fldCharType="end"/>
          </w:r>
          <w:r>
            <w:rPr>
              <w:sz w:val="18"/>
              <w:szCs w:val="18"/>
            </w:rPr>
            <w:fldChar w:fldCharType="end"/>
          </w:r>
        </w:p>
        <w:p>
          <w:pPr>
            <w:pStyle w:val="7"/>
            <w:tabs>
              <w:tab w:val="right" w:leader="dot" w:pos="8306"/>
            </w:tabs>
            <w:spacing w:line="300" w:lineRule="exact"/>
            <w:rPr>
              <w:sz w:val="18"/>
              <w:szCs w:val="18"/>
            </w:rPr>
          </w:pPr>
          <w:r>
            <w:fldChar w:fldCharType="begin"/>
          </w:r>
          <w:r>
            <w:instrText xml:space="preserve"> HYPERLINK \l "_Toc12555" </w:instrText>
          </w:r>
          <w:r>
            <w:fldChar w:fldCharType="separate"/>
          </w:r>
          <w:r>
            <w:rPr>
              <w:rFonts w:hint="eastAsia"/>
              <w:sz w:val="18"/>
              <w:szCs w:val="18"/>
            </w:rPr>
            <w:t>5.规划布局</w:t>
          </w:r>
          <w:r>
            <w:rPr>
              <w:sz w:val="18"/>
              <w:szCs w:val="18"/>
            </w:rPr>
            <w:tab/>
          </w:r>
          <w:r>
            <w:rPr>
              <w:sz w:val="18"/>
              <w:szCs w:val="18"/>
            </w:rPr>
            <w:fldChar w:fldCharType="begin"/>
          </w:r>
          <w:r>
            <w:rPr>
              <w:sz w:val="18"/>
              <w:szCs w:val="18"/>
            </w:rPr>
            <w:instrText xml:space="preserve"> PAGEREF _Toc12555 \h </w:instrText>
          </w:r>
          <w:r>
            <w:rPr>
              <w:sz w:val="18"/>
              <w:szCs w:val="18"/>
            </w:rPr>
            <w:fldChar w:fldCharType="separate"/>
          </w:r>
          <w:r>
            <w:rPr>
              <w:sz w:val="18"/>
              <w:szCs w:val="18"/>
            </w:rPr>
            <w:t>8</w:t>
          </w:r>
          <w:r>
            <w:rPr>
              <w:sz w:val="18"/>
              <w:szCs w:val="18"/>
            </w:rPr>
            <w:fldChar w:fldCharType="end"/>
          </w:r>
          <w:r>
            <w:rPr>
              <w:sz w:val="18"/>
              <w:szCs w:val="18"/>
            </w:rPr>
            <w:fldChar w:fldCharType="end"/>
          </w:r>
        </w:p>
        <w:p>
          <w:pPr>
            <w:pStyle w:val="8"/>
            <w:tabs>
              <w:tab w:val="right" w:leader="dot" w:pos="8306"/>
            </w:tabs>
            <w:spacing w:line="300" w:lineRule="exact"/>
            <w:rPr>
              <w:sz w:val="18"/>
              <w:szCs w:val="18"/>
            </w:rPr>
          </w:pPr>
          <w:r>
            <w:fldChar w:fldCharType="begin"/>
          </w:r>
          <w:r>
            <w:instrText xml:space="preserve"> HYPERLINK \l "_Toc4364" </w:instrText>
          </w:r>
          <w:r>
            <w:fldChar w:fldCharType="separate"/>
          </w:r>
          <w:r>
            <w:rPr>
              <w:rFonts w:hint="eastAsia"/>
              <w:sz w:val="18"/>
              <w:szCs w:val="18"/>
            </w:rPr>
            <w:t>5.1一般规定</w:t>
          </w:r>
          <w:r>
            <w:rPr>
              <w:sz w:val="18"/>
              <w:szCs w:val="18"/>
            </w:rPr>
            <w:tab/>
          </w:r>
          <w:r>
            <w:rPr>
              <w:sz w:val="18"/>
              <w:szCs w:val="18"/>
            </w:rPr>
            <w:fldChar w:fldCharType="begin"/>
          </w:r>
          <w:r>
            <w:rPr>
              <w:sz w:val="18"/>
              <w:szCs w:val="18"/>
            </w:rPr>
            <w:instrText xml:space="preserve"> PAGEREF _Toc4364 \h </w:instrText>
          </w:r>
          <w:r>
            <w:rPr>
              <w:sz w:val="18"/>
              <w:szCs w:val="18"/>
            </w:rPr>
            <w:fldChar w:fldCharType="separate"/>
          </w:r>
          <w:r>
            <w:rPr>
              <w:sz w:val="18"/>
              <w:szCs w:val="18"/>
            </w:rPr>
            <w:t>8</w:t>
          </w:r>
          <w:r>
            <w:rPr>
              <w:sz w:val="18"/>
              <w:szCs w:val="18"/>
            </w:rPr>
            <w:fldChar w:fldCharType="end"/>
          </w:r>
          <w:r>
            <w:rPr>
              <w:sz w:val="18"/>
              <w:szCs w:val="18"/>
            </w:rPr>
            <w:fldChar w:fldCharType="end"/>
          </w:r>
        </w:p>
        <w:p>
          <w:pPr>
            <w:pStyle w:val="8"/>
            <w:tabs>
              <w:tab w:val="right" w:leader="dot" w:pos="8306"/>
            </w:tabs>
            <w:spacing w:line="300" w:lineRule="exact"/>
            <w:rPr>
              <w:sz w:val="18"/>
              <w:szCs w:val="18"/>
            </w:rPr>
          </w:pPr>
          <w:r>
            <w:fldChar w:fldCharType="begin"/>
          </w:r>
          <w:r>
            <w:instrText xml:space="preserve"> HYPERLINK \l "_Toc8675" </w:instrText>
          </w:r>
          <w:r>
            <w:fldChar w:fldCharType="separate"/>
          </w:r>
          <w:r>
            <w:rPr>
              <w:rFonts w:hint="eastAsia"/>
              <w:sz w:val="18"/>
              <w:szCs w:val="18"/>
            </w:rPr>
            <w:t>5.2消防分区</w:t>
          </w:r>
          <w:r>
            <w:rPr>
              <w:sz w:val="18"/>
              <w:szCs w:val="18"/>
            </w:rPr>
            <w:tab/>
          </w:r>
          <w:r>
            <w:rPr>
              <w:sz w:val="18"/>
              <w:szCs w:val="18"/>
            </w:rPr>
            <w:fldChar w:fldCharType="begin"/>
          </w:r>
          <w:r>
            <w:rPr>
              <w:sz w:val="18"/>
              <w:szCs w:val="18"/>
            </w:rPr>
            <w:instrText xml:space="preserve"> PAGEREF _Toc8675 \h </w:instrText>
          </w:r>
          <w:r>
            <w:rPr>
              <w:sz w:val="18"/>
              <w:szCs w:val="18"/>
            </w:rPr>
            <w:fldChar w:fldCharType="separate"/>
          </w:r>
          <w:r>
            <w:rPr>
              <w:sz w:val="18"/>
              <w:szCs w:val="18"/>
            </w:rPr>
            <w:t>8</w:t>
          </w:r>
          <w:r>
            <w:rPr>
              <w:sz w:val="18"/>
              <w:szCs w:val="18"/>
            </w:rPr>
            <w:fldChar w:fldCharType="end"/>
          </w:r>
          <w:r>
            <w:rPr>
              <w:sz w:val="18"/>
              <w:szCs w:val="18"/>
            </w:rPr>
            <w:fldChar w:fldCharType="end"/>
          </w:r>
        </w:p>
        <w:p>
          <w:pPr>
            <w:pStyle w:val="8"/>
            <w:tabs>
              <w:tab w:val="right" w:leader="dot" w:pos="8306"/>
            </w:tabs>
            <w:spacing w:line="300" w:lineRule="exact"/>
            <w:rPr>
              <w:sz w:val="18"/>
              <w:szCs w:val="18"/>
            </w:rPr>
          </w:pPr>
          <w:r>
            <w:fldChar w:fldCharType="begin"/>
          </w:r>
          <w:r>
            <w:instrText xml:space="preserve"> HYPERLINK \l "_Toc15614" </w:instrText>
          </w:r>
          <w:r>
            <w:fldChar w:fldCharType="separate"/>
          </w:r>
          <w:r>
            <w:rPr>
              <w:rFonts w:hint="eastAsia"/>
              <w:sz w:val="18"/>
              <w:szCs w:val="18"/>
            </w:rPr>
            <w:t>5.3 消防道路</w:t>
          </w:r>
          <w:r>
            <w:rPr>
              <w:sz w:val="18"/>
              <w:szCs w:val="18"/>
            </w:rPr>
            <w:tab/>
          </w:r>
          <w:r>
            <w:rPr>
              <w:sz w:val="18"/>
              <w:szCs w:val="18"/>
            </w:rPr>
            <w:fldChar w:fldCharType="begin"/>
          </w:r>
          <w:r>
            <w:rPr>
              <w:sz w:val="18"/>
              <w:szCs w:val="18"/>
            </w:rPr>
            <w:instrText xml:space="preserve"> PAGEREF _Toc15614 \h </w:instrText>
          </w:r>
          <w:r>
            <w:rPr>
              <w:sz w:val="18"/>
              <w:szCs w:val="18"/>
            </w:rPr>
            <w:fldChar w:fldCharType="separate"/>
          </w:r>
          <w:r>
            <w:rPr>
              <w:sz w:val="18"/>
              <w:szCs w:val="18"/>
            </w:rPr>
            <w:t>9</w:t>
          </w:r>
          <w:r>
            <w:rPr>
              <w:sz w:val="18"/>
              <w:szCs w:val="18"/>
            </w:rPr>
            <w:fldChar w:fldCharType="end"/>
          </w:r>
          <w:r>
            <w:rPr>
              <w:sz w:val="18"/>
              <w:szCs w:val="18"/>
            </w:rPr>
            <w:fldChar w:fldCharType="end"/>
          </w:r>
        </w:p>
        <w:p>
          <w:pPr>
            <w:pStyle w:val="7"/>
            <w:tabs>
              <w:tab w:val="right" w:leader="dot" w:pos="8306"/>
            </w:tabs>
            <w:spacing w:line="300" w:lineRule="exact"/>
            <w:rPr>
              <w:sz w:val="18"/>
              <w:szCs w:val="18"/>
            </w:rPr>
          </w:pPr>
          <w:r>
            <w:fldChar w:fldCharType="begin"/>
          </w:r>
          <w:r>
            <w:instrText xml:space="preserve"> HYPERLINK \l "_Toc8762" </w:instrText>
          </w:r>
          <w:r>
            <w:fldChar w:fldCharType="separate"/>
          </w:r>
          <w:r>
            <w:rPr>
              <w:rFonts w:hint="eastAsia"/>
              <w:sz w:val="18"/>
              <w:szCs w:val="18"/>
            </w:rPr>
            <w:t>6 消防设施</w:t>
          </w:r>
          <w:r>
            <w:rPr>
              <w:sz w:val="18"/>
              <w:szCs w:val="18"/>
            </w:rPr>
            <w:tab/>
          </w:r>
          <w:r>
            <w:rPr>
              <w:sz w:val="18"/>
              <w:szCs w:val="18"/>
            </w:rPr>
            <w:fldChar w:fldCharType="begin"/>
          </w:r>
          <w:r>
            <w:rPr>
              <w:sz w:val="18"/>
              <w:szCs w:val="18"/>
            </w:rPr>
            <w:instrText xml:space="preserve"> PAGEREF _Toc8762 \h </w:instrText>
          </w:r>
          <w:r>
            <w:rPr>
              <w:sz w:val="18"/>
              <w:szCs w:val="18"/>
            </w:rPr>
            <w:fldChar w:fldCharType="separate"/>
          </w:r>
          <w:r>
            <w:rPr>
              <w:sz w:val="18"/>
              <w:szCs w:val="18"/>
            </w:rPr>
            <w:t>10</w:t>
          </w:r>
          <w:r>
            <w:rPr>
              <w:sz w:val="18"/>
              <w:szCs w:val="18"/>
            </w:rPr>
            <w:fldChar w:fldCharType="end"/>
          </w:r>
          <w:r>
            <w:rPr>
              <w:sz w:val="18"/>
              <w:szCs w:val="18"/>
            </w:rPr>
            <w:fldChar w:fldCharType="end"/>
          </w:r>
        </w:p>
        <w:p>
          <w:pPr>
            <w:pStyle w:val="8"/>
            <w:tabs>
              <w:tab w:val="right" w:leader="dot" w:pos="8306"/>
            </w:tabs>
            <w:spacing w:line="300" w:lineRule="exact"/>
            <w:rPr>
              <w:sz w:val="18"/>
              <w:szCs w:val="18"/>
            </w:rPr>
          </w:pPr>
          <w:r>
            <w:fldChar w:fldCharType="begin"/>
          </w:r>
          <w:r>
            <w:instrText xml:space="preserve"> HYPERLINK \l "_Toc12433" </w:instrText>
          </w:r>
          <w:r>
            <w:fldChar w:fldCharType="separate"/>
          </w:r>
          <w:r>
            <w:rPr>
              <w:rFonts w:hint="eastAsia"/>
              <w:sz w:val="18"/>
              <w:szCs w:val="18"/>
            </w:rPr>
            <w:t>6.1消防站点</w:t>
          </w:r>
          <w:r>
            <w:rPr>
              <w:sz w:val="18"/>
              <w:szCs w:val="18"/>
            </w:rPr>
            <w:tab/>
          </w:r>
          <w:r>
            <w:rPr>
              <w:sz w:val="18"/>
              <w:szCs w:val="18"/>
            </w:rPr>
            <w:fldChar w:fldCharType="begin"/>
          </w:r>
          <w:r>
            <w:rPr>
              <w:sz w:val="18"/>
              <w:szCs w:val="18"/>
            </w:rPr>
            <w:instrText xml:space="preserve"> PAGEREF _Toc12433 \h </w:instrText>
          </w:r>
          <w:r>
            <w:rPr>
              <w:sz w:val="18"/>
              <w:szCs w:val="18"/>
            </w:rPr>
            <w:fldChar w:fldCharType="separate"/>
          </w:r>
          <w:r>
            <w:rPr>
              <w:sz w:val="18"/>
              <w:szCs w:val="18"/>
            </w:rPr>
            <w:t>10</w:t>
          </w:r>
          <w:r>
            <w:rPr>
              <w:sz w:val="18"/>
              <w:szCs w:val="18"/>
            </w:rPr>
            <w:fldChar w:fldCharType="end"/>
          </w:r>
          <w:r>
            <w:rPr>
              <w:sz w:val="18"/>
              <w:szCs w:val="18"/>
            </w:rPr>
            <w:fldChar w:fldCharType="end"/>
          </w:r>
        </w:p>
        <w:p>
          <w:pPr>
            <w:pStyle w:val="8"/>
            <w:tabs>
              <w:tab w:val="right" w:leader="dot" w:pos="8306"/>
            </w:tabs>
            <w:spacing w:line="300" w:lineRule="exact"/>
            <w:rPr>
              <w:sz w:val="18"/>
              <w:szCs w:val="18"/>
            </w:rPr>
          </w:pPr>
          <w:r>
            <w:fldChar w:fldCharType="begin"/>
          </w:r>
          <w:r>
            <w:instrText xml:space="preserve"> HYPERLINK \l "_Toc26205" </w:instrText>
          </w:r>
          <w:r>
            <w:fldChar w:fldCharType="separate"/>
          </w:r>
          <w:r>
            <w:rPr>
              <w:rFonts w:hint="eastAsia"/>
              <w:sz w:val="18"/>
              <w:szCs w:val="18"/>
            </w:rPr>
            <w:t>6.2 消防给水及消火栓系统</w:t>
          </w:r>
          <w:r>
            <w:rPr>
              <w:sz w:val="18"/>
              <w:szCs w:val="18"/>
            </w:rPr>
            <w:tab/>
          </w:r>
          <w:r>
            <w:rPr>
              <w:sz w:val="18"/>
              <w:szCs w:val="18"/>
            </w:rPr>
            <w:fldChar w:fldCharType="begin"/>
          </w:r>
          <w:r>
            <w:rPr>
              <w:sz w:val="18"/>
              <w:szCs w:val="18"/>
            </w:rPr>
            <w:instrText xml:space="preserve"> PAGEREF _Toc26205 \h </w:instrText>
          </w:r>
          <w:r>
            <w:rPr>
              <w:sz w:val="18"/>
              <w:szCs w:val="18"/>
            </w:rPr>
            <w:fldChar w:fldCharType="separate"/>
          </w:r>
          <w:r>
            <w:rPr>
              <w:sz w:val="18"/>
              <w:szCs w:val="18"/>
            </w:rPr>
            <w:t>10</w:t>
          </w:r>
          <w:r>
            <w:rPr>
              <w:sz w:val="18"/>
              <w:szCs w:val="18"/>
            </w:rPr>
            <w:fldChar w:fldCharType="end"/>
          </w:r>
          <w:r>
            <w:rPr>
              <w:sz w:val="18"/>
              <w:szCs w:val="18"/>
            </w:rPr>
            <w:fldChar w:fldCharType="end"/>
          </w:r>
        </w:p>
        <w:p>
          <w:pPr>
            <w:pStyle w:val="7"/>
            <w:tabs>
              <w:tab w:val="right" w:leader="dot" w:pos="8306"/>
            </w:tabs>
            <w:spacing w:line="300" w:lineRule="exact"/>
            <w:rPr>
              <w:sz w:val="18"/>
              <w:szCs w:val="18"/>
            </w:rPr>
          </w:pPr>
          <w:r>
            <w:fldChar w:fldCharType="begin"/>
          </w:r>
          <w:r>
            <w:instrText xml:space="preserve"> HYPERLINK \l "_Toc4529" </w:instrText>
          </w:r>
          <w:r>
            <w:fldChar w:fldCharType="separate"/>
          </w:r>
          <w:r>
            <w:rPr>
              <w:rFonts w:hint="eastAsia"/>
              <w:sz w:val="18"/>
              <w:szCs w:val="18"/>
            </w:rPr>
            <w:t>7 火灾危险源控制</w:t>
          </w:r>
          <w:r>
            <w:rPr>
              <w:sz w:val="18"/>
              <w:szCs w:val="18"/>
            </w:rPr>
            <w:tab/>
          </w:r>
          <w:r>
            <w:rPr>
              <w:sz w:val="18"/>
              <w:szCs w:val="18"/>
            </w:rPr>
            <w:fldChar w:fldCharType="begin"/>
          </w:r>
          <w:r>
            <w:rPr>
              <w:sz w:val="18"/>
              <w:szCs w:val="18"/>
            </w:rPr>
            <w:instrText xml:space="preserve"> PAGEREF _Toc4529 \h </w:instrText>
          </w:r>
          <w:r>
            <w:rPr>
              <w:sz w:val="18"/>
              <w:szCs w:val="18"/>
            </w:rPr>
            <w:fldChar w:fldCharType="separate"/>
          </w:r>
          <w:r>
            <w:rPr>
              <w:sz w:val="18"/>
              <w:szCs w:val="18"/>
            </w:rPr>
            <w:t>12</w:t>
          </w:r>
          <w:r>
            <w:rPr>
              <w:sz w:val="18"/>
              <w:szCs w:val="18"/>
            </w:rPr>
            <w:fldChar w:fldCharType="end"/>
          </w:r>
          <w:r>
            <w:rPr>
              <w:sz w:val="18"/>
              <w:szCs w:val="18"/>
            </w:rPr>
            <w:fldChar w:fldCharType="end"/>
          </w:r>
        </w:p>
        <w:p>
          <w:pPr>
            <w:pStyle w:val="8"/>
            <w:tabs>
              <w:tab w:val="right" w:leader="dot" w:pos="8306"/>
            </w:tabs>
            <w:spacing w:line="300" w:lineRule="exact"/>
            <w:rPr>
              <w:sz w:val="18"/>
              <w:szCs w:val="18"/>
            </w:rPr>
          </w:pPr>
          <w:r>
            <w:fldChar w:fldCharType="begin"/>
          </w:r>
          <w:r>
            <w:instrText xml:space="preserve"> HYPERLINK \l "_Toc7161" </w:instrText>
          </w:r>
          <w:r>
            <w:fldChar w:fldCharType="separate"/>
          </w:r>
          <w:r>
            <w:rPr>
              <w:rFonts w:hint="eastAsia"/>
              <w:sz w:val="18"/>
              <w:szCs w:val="18"/>
            </w:rPr>
            <w:t>7.1 用火</w:t>
          </w:r>
          <w:r>
            <w:rPr>
              <w:sz w:val="18"/>
              <w:szCs w:val="18"/>
            </w:rPr>
            <w:tab/>
          </w:r>
          <w:r>
            <w:rPr>
              <w:sz w:val="18"/>
              <w:szCs w:val="18"/>
            </w:rPr>
            <w:fldChar w:fldCharType="begin"/>
          </w:r>
          <w:r>
            <w:rPr>
              <w:sz w:val="18"/>
              <w:szCs w:val="18"/>
            </w:rPr>
            <w:instrText xml:space="preserve"> PAGEREF _Toc7161 \h </w:instrText>
          </w:r>
          <w:r>
            <w:rPr>
              <w:sz w:val="18"/>
              <w:szCs w:val="18"/>
            </w:rPr>
            <w:fldChar w:fldCharType="separate"/>
          </w:r>
          <w:r>
            <w:rPr>
              <w:sz w:val="18"/>
              <w:szCs w:val="18"/>
            </w:rPr>
            <w:t>12</w:t>
          </w:r>
          <w:r>
            <w:rPr>
              <w:sz w:val="18"/>
              <w:szCs w:val="18"/>
            </w:rPr>
            <w:fldChar w:fldCharType="end"/>
          </w:r>
          <w:r>
            <w:rPr>
              <w:sz w:val="18"/>
              <w:szCs w:val="18"/>
            </w:rPr>
            <w:fldChar w:fldCharType="end"/>
          </w:r>
        </w:p>
        <w:p>
          <w:pPr>
            <w:pStyle w:val="8"/>
            <w:tabs>
              <w:tab w:val="right" w:leader="dot" w:pos="8306"/>
            </w:tabs>
            <w:spacing w:line="300" w:lineRule="exact"/>
            <w:rPr>
              <w:sz w:val="18"/>
              <w:szCs w:val="18"/>
            </w:rPr>
          </w:pPr>
          <w:r>
            <w:fldChar w:fldCharType="begin"/>
          </w:r>
          <w:r>
            <w:instrText xml:space="preserve"> HYPERLINK \l "_Toc16650" </w:instrText>
          </w:r>
          <w:r>
            <w:fldChar w:fldCharType="separate"/>
          </w:r>
          <w:r>
            <w:rPr>
              <w:rFonts w:hint="eastAsia"/>
              <w:sz w:val="18"/>
              <w:szCs w:val="18"/>
            </w:rPr>
            <w:t>7.2 用电</w:t>
          </w:r>
          <w:r>
            <w:rPr>
              <w:sz w:val="18"/>
              <w:szCs w:val="18"/>
            </w:rPr>
            <w:tab/>
          </w:r>
          <w:r>
            <w:rPr>
              <w:sz w:val="18"/>
              <w:szCs w:val="18"/>
            </w:rPr>
            <w:fldChar w:fldCharType="begin"/>
          </w:r>
          <w:r>
            <w:rPr>
              <w:sz w:val="18"/>
              <w:szCs w:val="18"/>
            </w:rPr>
            <w:instrText xml:space="preserve"> PAGEREF _Toc16650 \h </w:instrText>
          </w:r>
          <w:r>
            <w:rPr>
              <w:sz w:val="18"/>
              <w:szCs w:val="18"/>
            </w:rPr>
            <w:fldChar w:fldCharType="separate"/>
          </w:r>
          <w:r>
            <w:rPr>
              <w:sz w:val="18"/>
              <w:szCs w:val="18"/>
            </w:rPr>
            <w:t>13</w:t>
          </w:r>
          <w:r>
            <w:rPr>
              <w:sz w:val="18"/>
              <w:szCs w:val="18"/>
            </w:rPr>
            <w:fldChar w:fldCharType="end"/>
          </w:r>
          <w:r>
            <w:rPr>
              <w:sz w:val="18"/>
              <w:szCs w:val="18"/>
            </w:rPr>
            <w:fldChar w:fldCharType="end"/>
          </w:r>
        </w:p>
        <w:p>
          <w:pPr>
            <w:pStyle w:val="8"/>
            <w:tabs>
              <w:tab w:val="right" w:leader="dot" w:pos="8306"/>
            </w:tabs>
            <w:spacing w:line="300" w:lineRule="exact"/>
            <w:rPr>
              <w:sz w:val="18"/>
              <w:szCs w:val="18"/>
            </w:rPr>
          </w:pPr>
          <w:r>
            <w:fldChar w:fldCharType="begin"/>
          </w:r>
          <w:r>
            <w:instrText xml:space="preserve"> HYPERLINK \l "_Toc3086" </w:instrText>
          </w:r>
          <w:r>
            <w:fldChar w:fldCharType="separate"/>
          </w:r>
          <w:r>
            <w:rPr>
              <w:rFonts w:hint="eastAsia"/>
              <w:sz w:val="18"/>
              <w:szCs w:val="18"/>
            </w:rPr>
            <w:t>7.3 用气</w:t>
          </w:r>
          <w:r>
            <w:rPr>
              <w:sz w:val="18"/>
              <w:szCs w:val="18"/>
            </w:rPr>
            <w:tab/>
          </w:r>
          <w:r>
            <w:rPr>
              <w:sz w:val="18"/>
              <w:szCs w:val="18"/>
            </w:rPr>
            <w:fldChar w:fldCharType="begin"/>
          </w:r>
          <w:r>
            <w:rPr>
              <w:sz w:val="18"/>
              <w:szCs w:val="18"/>
            </w:rPr>
            <w:instrText xml:space="preserve"> PAGEREF _Toc3086 \h </w:instrText>
          </w:r>
          <w:r>
            <w:rPr>
              <w:sz w:val="18"/>
              <w:szCs w:val="18"/>
            </w:rPr>
            <w:fldChar w:fldCharType="separate"/>
          </w:r>
          <w:r>
            <w:rPr>
              <w:sz w:val="18"/>
              <w:szCs w:val="18"/>
            </w:rPr>
            <w:t>14</w:t>
          </w:r>
          <w:r>
            <w:rPr>
              <w:sz w:val="18"/>
              <w:szCs w:val="18"/>
            </w:rPr>
            <w:fldChar w:fldCharType="end"/>
          </w:r>
          <w:r>
            <w:rPr>
              <w:sz w:val="18"/>
              <w:szCs w:val="18"/>
            </w:rPr>
            <w:fldChar w:fldCharType="end"/>
          </w:r>
        </w:p>
        <w:p>
          <w:pPr>
            <w:pStyle w:val="8"/>
            <w:tabs>
              <w:tab w:val="right" w:leader="dot" w:pos="8306"/>
            </w:tabs>
            <w:spacing w:line="300" w:lineRule="exact"/>
            <w:rPr>
              <w:sz w:val="18"/>
              <w:szCs w:val="18"/>
            </w:rPr>
          </w:pPr>
          <w:r>
            <w:fldChar w:fldCharType="begin"/>
          </w:r>
          <w:r>
            <w:instrText xml:space="preserve"> HYPERLINK \l "_Toc10896" </w:instrText>
          </w:r>
          <w:r>
            <w:fldChar w:fldCharType="separate"/>
          </w:r>
          <w:r>
            <w:rPr>
              <w:rFonts w:hint="eastAsia"/>
              <w:sz w:val="18"/>
              <w:szCs w:val="18"/>
            </w:rPr>
            <w:t>7.4 用油</w:t>
          </w:r>
          <w:r>
            <w:rPr>
              <w:sz w:val="18"/>
              <w:szCs w:val="18"/>
            </w:rPr>
            <w:tab/>
          </w:r>
          <w:r>
            <w:rPr>
              <w:sz w:val="18"/>
              <w:szCs w:val="18"/>
            </w:rPr>
            <w:fldChar w:fldCharType="begin"/>
          </w:r>
          <w:r>
            <w:rPr>
              <w:sz w:val="18"/>
              <w:szCs w:val="18"/>
            </w:rPr>
            <w:instrText xml:space="preserve"> PAGEREF _Toc10896 \h </w:instrText>
          </w:r>
          <w:r>
            <w:rPr>
              <w:sz w:val="18"/>
              <w:szCs w:val="18"/>
            </w:rPr>
            <w:fldChar w:fldCharType="separate"/>
          </w:r>
          <w:r>
            <w:rPr>
              <w:sz w:val="18"/>
              <w:szCs w:val="18"/>
            </w:rPr>
            <w:t>14</w:t>
          </w:r>
          <w:r>
            <w:rPr>
              <w:sz w:val="18"/>
              <w:szCs w:val="18"/>
            </w:rPr>
            <w:fldChar w:fldCharType="end"/>
          </w:r>
          <w:r>
            <w:rPr>
              <w:sz w:val="18"/>
              <w:szCs w:val="18"/>
            </w:rPr>
            <w:fldChar w:fldCharType="end"/>
          </w:r>
        </w:p>
        <w:p>
          <w:pPr>
            <w:pStyle w:val="7"/>
            <w:tabs>
              <w:tab w:val="right" w:leader="dot" w:pos="8306"/>
            </w:tabs>
            <w:spacing w:line="300" w:lineRule="exact"/>
            <w:rPr>
              <w:sz w:val="18"/>
              <w:szCs w:val="18"/>
            </w:rPr>
          </w:pPr>
          <w:r>
            <w:fldChar w:fldCharType="begin"/>
          </w:r>
          <w:r>
            <w:instrText xml:space="preserve"> HYPERLINK \l "_Toc1484" </w:instrText>
          </w:r>
          <w:r>
            <w:fldChar w:fldCharType="separate"/>
          </w:r>
          <w:r>
            <w:rPr>
              <w:rFonts w:hint="eastAsia"/>
              <w:sz w:val="18"/>
              <w:szCs w:val="18"/>
            </w:rPr>
            <w:t>8.常见场所火灾防控要求</w:t>
          </w:r>
          <w:r>
            <w:rPr>
              <w:sz w:val="18"/>
              <w:szCs w:val="18"/>
            </w:rPr>
            <w:tab/>
          </w:r>
          <w:r>
            <w:rPr>
              <w:sz w:val="18"/>
              <w:szCs w:val="18"/>
            </w:rPr>
            <w:fldChar w:fldCharType="begin"/>
          </w:r>
          <w:r>
            <w:rPr>
              <w:sz w:val="18"/>
              <w:szCs w:val="18"/>
            </w:rPr>
            <w:instrText xml:space="preserve"> PAGEREF _Toc1484 \h </w:instrText>
          </w:r>
          <w:r>
            <w:rPr>
              <w:sz w:val="18"/>
              <w:szCs w:val="18"/>
            </w:rPr>
            <w:fldChar w:fldCharType="separate"/>
          </w:r>
          <w:r>
            <w:rPr>
              <w:sz w:val="18"/>
              <w:szCs w:val="18"/>
            </w:rPr>
            <w:t>16</w:t>
          </w:r>
          <w:r>
            <w:rPr>
              <w:sz w:val="18"/>
              <w:szCs w:val="18"/>
            </w:rPr>
            <w:fldChar w:fldCharType="end"/>
          </w:r>
          <w:r>
            <w:rPr>
              <w:sz w:val="18"/>
              <w:szCs w:val="18"/>
            </w:rPr>
            <w:fldChar w:fldCharType="end"/>
          </w:r>
        </w:p>
        <w:p>
          <w:pPr>
            <w:pStyle w:val="8"/>
            <w:tabs>
              <w:tab w:val="right" w:leader="dot" w:pos="8306"/>
            </w:tabs>
            <w:spacing w:line="300" w:lineRule="exact"/>
            <w:rPr>
              <w:sz w:val="18"/>
              <w:szCs w:val="18"/>
            </w:rPr>
          </w:pPr>
          <w:r>
            <w:fldChar w:fldCharType="begin"/>
          </w:r>
          <w:r>
            <w:instrText xml:space="preserve"> HYPERLINK \l "_Toc28539" </w:instrText>
          </w:r>
          <w:r>
            <w:fldChar w:fldCharType="separate"/>
          </w:r>
          <w:r>
            <w:rPr>
              <w:rFonts w:hint="eastAsia"/>
              <w:sz w:val="18"/>
              <w:szCs w:val="18"/>
            </w:rPr>
            <w:t>8.1 一般规定</w:t>
          </w:r>
          <w:r>
            <w:rPr>
              <w:sz w:val="18"/>
              <w:szCs w:val="18"/>
            </w:rPr>
            <w:tab/>
          </w:r>
          <w:r>
            <w:rPr>
              <w:sz w:val="18"/>
              <w:szCs w:val="18"/>
            </w:rPr>
            <w:fldChar w:fldCharType="begin"/>
          </w:r>
          <w:r>
            <w:rPr>
              <w:sz w:val="18"/>
              <w:szCs w:val="18"/>
            </w:rPr>
            <w:instrText xml:space="preserve"> PAGEREF _Toc28539 \h </w:instrText>
          </w:r>
          <w:r>
            <w:rPr>
              <w:sz w:val="18"/>
              <w:szCs w:val="18"/>
            </w:rPr>
            <w:fldChar w:fldCharType="separate"/>
          </w:r>
          <w:r>
            <w:rPr>
              <w:sz w:val="18"/>
              <w:szCs w:val="18"/>
            </w:rPr>
            <w:t>16</w:t>
          </w:r>
          <w:r>
            <w:rPr>
              <w:sz w:val="18"/>
              <w:szCs w:val="18"/>
            </w:rPr>
            <w:fldChar w:fldCharType="end"/>
          </w:r>
          <w:r>
            <w:rPr>
              <w:sz w:val="18"/>
              <w:szCs w:val="18"/>
            </w:rPr>
            <w:fldChar w:fldCharType="end"/>
          </w:r>
        </w:p>
        <w:p>
          <w:pPr>
            <w:pStyle w:val="8"/>
            <w:tabs>
              <w:tab w:val="right" w:leader="dot" w:pos="8306"/>
            </w:tabs>
            <w:spacing w:line="300" w:lineRule="exact"/>
            <w:rPr>
              <w:sz w:val="18"/>
              <w:szCs w:val="18"/>
            </w:rPr>
          </w:pPr>
          <w:r>
            <w:fldChar w:fldCharType="begin"/>
          </w:r>
          <w:r>
            <w:instrText xml:space="preserve"> HYPERLINK \l "_Toc8500" </w:instrText>
          </w:r>
          <w:r>
            <w:fldChar w:fldCharType="separate"/>
          </w:r>
          <w:r>
            <w:rPr>
              <w:rFonts w:hint="eastAsia"/>
              <w:sz w:val="18"/>
              <w:szCs w:val="18"/>
            </w:rPr>
            <w:t>8.2 建筑消防安全评估和消防安全保障方案</w:t>
          </w:r>
          <w:r>
            <w:rPr>
              <w:sz w:val="18"/>
              <w:szCs w:val="18"/>
            </w:rPr>
            <w:tab/>
          </w:r>
          <w:r>
            <w:rPr>
              <w:sz w:val="18"/>
              <w:szCs w:val="18"/>
            </w:rPr>
            <w:fldChar w:fldCharType="begin"/>
          </w:r>
          <w:r>
            <w:rPr>
              <w:sz w:val="18"/>
              <w:szCs w:val="18"/>
            </w:rPr>
            <w:instrText xml:space="preserve"> PAGEREF _Toc8500 \h </w:instrText>
          </w:r>
          <w:r>
            <w:rPr>
              <w:sz w:val="18"/>
              <w:szCs w:val="18"/>
            </w:rPr>
            <w:fldChar w:fldCharType="separate"/>
          </w:r>
          <w:r>
            <w:rPr>
              <w:sz w:val="18"/>
              <w:szCs w:val="18"/>
            </w:rPr>
            <w:t>17</w:t>
          </w:r>
          <w:r>
            <w:rPr>
              <w:sz w:val="18"/>
              <w:szCs w:val="18"/>
            </w:rPr>
            <w:fldChar w:fldCharType="end"/>
          </w:r>
          <w:r>
            <w:rPr>
              <w:sz w:val="18"/>
              <w:szCs w:val="18"/>
            </w:rPr>
            <w:fldChar w:fldCharType="end"/>
          </w:r>
        </w:p>
        <w:p>
          <w:pPr>
            <w:pStyle w:val="8"/>
            <w:tabs>
              <w:tab w:val="right" w:leader="dot" w:pos="8306"/>
            </w:tabs>
            <w:spacing w:line="300" w:lineRule="exact"/>
            <w:rPr>
              <w:sz w:val="18"/>
              <w:szCs w:val="18"/>
            </w:rPr>
          </w:pPr>
          <w:r>
            <w:fldChar w:fldCharType="begin"/>
          </w:r>
          <w:r>
            <w:instrText xml:space="preserve"> HYPERLINK \l "_Toc23786" </w:instrText>
          </w:r>
          <w:r>
            <w:fldChar w:fldCharType="separate"/>
          </w:r>
          <w:r>
            <w:rPr>
              <w:rFonts w:hint="eastAsia"/>
              <w:sz w:val="18"/>
              <w:szCs w:val="18"/>
            </w:rPr>
            <w:t>8.3 合用场所</w:t>
          </w:r>
          <w:r>
            <w:rPr>
              <w:sz w:val="18"/>
              <w:szCs w:val="18"/>
            </w:rPr>
            <w:tab/>
          </w:r>
          <w:r>
            <w:rPr>
              <w:sz w:val="18"/>
              <w:szCs w:val="18"/>
            </w:rPr>
            <w:fldChar w:fldCharType="begin"/>
          </w:r>
          <w:r>
            <w:rPr>
              <w:sz w:val="18"/>
              <w:szCs w:val="18"/>
            </w:rPr>
            <w:instrText xml:space="preserve"> PAGEREF _Toc23786 \h </w:instrText>
          </w:r>
          <w:r>
            <w:rPr>
              <w:sz w:val="18"/>
              <w:szCs w:val="18"/>
            </w:rPr>
            <w:fldChar w:fldCharType="separate"/>
          </w:r>
          <w:r>
            <w:rPr>
              <w:sz w:val="18"/>
              <w:szCs w:val="18"/>
            </w:rPr>
            <w:t>18</w:t>
          </w:r>
          <w:r>
            <w:rPr>
              <w:sz w:val="18"/>
              <w:szCs w:val="18"/>
            </w:rPr>
            <w:fldChar w:fldCharType="end"/>
          </w:r>
          <w:r>
            <w:rPr>
              <w:sz w:val="18"/>
              <w:szCs w:val="18"/>
            </w:rPr>
            <w:fldChar w:fldCharType="end"/>
          </w:r>
        </w:p>
        <w:p>
          <w:pPr>
            <w:pStyle w:val="8"/>
            <w:tabs>
              <w:tab w:val="right" w:leader="dot" w:pos="8306"/>
            </w:tabs>
            <w:spacing w:line="300" w:lineRule="exact"/>
            <w:rPr>
              <w:sz w:val="18"/>
              <w:szCs w:val="18"/>
            </w:rPr>
          </w:pPr>
          <w:r>
            <w:fldChar w:fldCharType="begin"/>
          </w:r>
          <w:r>
            <w:instrText xml:space="preserve"> HYPERLINK \l "_Toc8091" </w:instrText>
          </w:r>
          <w:r>
            <w:fldChar w:fldCharType="separate"/>
          </w:r>
          <w:r>
            <w:rPr>
              <w:rFonts w:hint="eastAsia"/>
              <w:sz w:val="18"/>
              <w:szCs w:val="18"/>
            </w:rPr>
            <w:t>8.4 住宅</w:t>
          </w:r>
          <w:r>
            <w:rPr>
              <w:sz w:val="18"/>
              <w:szCs w:val="18"/>
            </w:rPr>
            <w:tab/>
          </w:r>
          <w:r>
            <w:rPr>
              <w:sz w:val="18"/>
              <w:szCs w:val="18"/>
            </w:rPr>
            <w:fldChar w:fldCharType="begin"/>
          </w:r>
          <w:r>
            <w:rPr>
              <w:sz w:val="18"/>
              <w:szCs w:val="18"/>
            </w:rPr>
            <w:instrText xml:space="preserve"> PAGEREF _Toc8091 \h </w:instrText>
          </w:r>
          <w:r>
            <w:rPr>
              <w:sz w:val="18"/>
              <w:szCs w:val="18"/>
            </w:rPr>
            <w:fldChar w:fldCharType="separate"/>
          </w:r>
          <w:r>
            <w:rPr>
              <w:sz w:val="18"/>
              <w:szCs w:val="18"/>
            </w:rPr>
            <w:t>18</w:t>
          </w:r>
          <w:r>
            <w:rPr>
              <w:sz w:val="18"/>
              <w:szCs w:val="18"/>
            </w:rPr>
            <w:fldChar w:fldCharType="end"/>
          </w:r>
          <w:r>
            <w:rPr>
              <w:sz w:val="18"/>
              <w:szCs w:val="18"/>
            </w:rPr>
            <w:fldChar w:fldCharType="end"/>
          </w:r>
        </w:p>
        <w:p>
          <w:pPr>
            <w:pStyle w:val="8"/>
            <w:tabs>
              <w:tab w:val="right" w:leader="dot" w:pos="8306"/>
            </w:tabs>
            <w:spacing w:line="300" w:lineRule="exact"/>
            <w:rPr>
              <w:sz w:val="18"/>
              <w:szCs w:val="18"/>
            </w:rPr>
          </w:pPr>
          <w:r>
            <w:fldChar w:fldCharType="begin"/>
          </w:r>
          <w:r>
            <w:instrText xml:space="preserve"> HYPERLINK \l "_Toc31937" </w:instrText>
          </w:r>
          <w:r>
            <w:fldChar w:fldCharType="separate"/>
          </w:r>
          <w:r>
            <w:rPr>
              <w:rFonts w:hint="eastAsia"/>
              <w:sz w:val="18"/>
              <w:szCs w:val="18"/>
            </w:rPr>
            <w:t>8.5 学校</w:t>
          </w:r>
          <w:r>
            <w:rPr>
              <w:sz w:val="18"/>
              <w:szCs w:val="18"/>
            </w:rPr>
            <w:tab/>
          </w:r>
          <w:r>
            <w:rPr>
              <w:sz w:val="18"/>
              <w:szCs w:val="18"/>
            </w:rPr>
            <w:fldChar w:fldCharType="begin"/>
          </w:r>
          <w:r>
            <w:rPr>
              <w:sz w:val="18"/>
              <w:szCs w:val="18"/>
            </w:rPr>
            <w:instrText xml:space="preserve"> PAGEREF _Toc31937 \h </w:instrText>
          </w:r>
          <w:r>
            <w:rPr>
              <w:sz w:val="18"/>
              <w:szCs w:val="18"/>
            </w:rPr>
            <w:fldChar w:fldCharType="separate"/>
          </w:r>
          <w:r>
            <w:rPr>
              <w:sz w:val="18"/>
              <w:szCs w:val="18"/>
            </w:rPr>
            <w:t>19</w:t>
          </w:r>
          <w:r>
            <w:rPr>
              <w:sz w:val="18"/>
              <w:szCs w:val="18"/>
            </w:rPr>
            <w:fldChar w:fldCharType="end"/>
          </w:r>
          <w:r>
            <w:rPr>
              <w:sz w:val="18"/>
              <w:szCs w:val="18"/>
            </w:rPr>
            <w:fldChar w:fldCharType="end"/>
          </w:r>
        </w:p>
        <w:p>
          <w:pPr>
            <w:pStyle w:val="8"/>
            <w:tabs>
              <w:tab w:val="right" w:leader="dot" w:pos="8306"/>
            </w:tabs>
            <w:spacing w:line="300" w:lineRule="exact"/>
            <w:rPr>
              <w:sz w:val="18"/>
              <w:szCs w:val="18"/>
            </w:rPr>
          </w:pPr>
          <w:r>
            <w:fldChar w:fldCharType="begin"/>
          </w:r>
          <w:r>
            <w:instrText xml:space="preserve"> HYPERLINK \l "_Toc8591" </w:instrText>
          </w:r>
          <w:r>
            <w:fldChar w:fldCharType="separate"/>
          </w:r>
          <w:r>
            <w:rPr>
              <w:rFonts w:hint="eastAsia"/>
              <w:sz w:val="18"/>
              <w:szCs w:val="18"/>
            </w:rPr>
            <w:t>8.6 客栈（酒店）</w:t>
          </w:r>
          <w:r>
            <w:rPr>
              <w:sz w:val="18"/>
              <w:szCs w:val="18"/>
            </w:rPr>
            <w:tab/>
          </w:r>
          <w:r>
            <w:rPr>
              <w:sz w:val="18"/>
              <w:szCs w:val="18"/>
            </w:rPr>
            <w:fldChar w:fldCharType="begin"/>
          </w:r>
          <w:r>
            <w:rPr>
              <w:sz w:val="18"/>
              <w:szCs w:val="18"/>
            </w:rPr>
            <w:instrText xml:space="preserve"> PAGEREF _Toc8591 \h </w:instrText>
          </w:r>
          <w:r>
            <w:rPr>
              <w:sz w:val="18"/>
              <w:szCs w:val="18"/>
            </w:rPr>
            <w:fldChar w:fldCharType="separate"/>
          </w:r>
          <w:r>
            <w:rPr>
              <w:sz w:val="18"/>
              <w:szCs w:val="18"/>
            </w:rPr>
            <w:t>20</w:t>
          </w:r>
          <w:r>
            <w:rPr>
              <w:sz w:val="18"/>
              <w:szCs w:val="18"/>
            </w:rPr>
            <w:fldChar w:fldCharType="end"/>
          </w:r>
          <w:r>
            <w:rPr>
              <w:sz w:val="18"/>
              <w:szCs w:val="18"/>
            </w:rPr>
            <w:fldChar w:fldCharType="end"/>
          </w:r>
        </w:p>
        <w:p>
          <w:pPr>
            <w:pStyle w:val="8"/>
            <w:tabs>
              <w:tab w:val="right" w:leader="dot" w:pos="8306"/>
            </w:tabs>
            <w:spacing w:line="300" w:lineRule="exact"/>
            <w:rPr>
              <w:sz w:val="18"/>
              <w:szCs w:val="18"/>
            </w:rPr>
          </w:pPr>
          <w:r>
            <w:fldChar w:fldCharType="begin"/>
          </w:r>
          <w:r>
            <w:instrText xml:space="preserve"> HYPERLINK \l "_Toc14995" </w:instrText>
          </w:r>
          <w:r>
            <w:fldChar w:fldCharType="separate"/>
          </w:r>
          <w:r>
            <w:rPr>
              <w:rFonts w:hint="eastAsia"/>
              <w:sz w:val="18"/>
              <w:szCs w:val="18"/>
            </w:rPr>
            <w:t>8.7 商铺</w:t>
          </w:r>
          <w:r>
            <w:rPr>
              <w:sz w:val="18"/>
              <w:szCs w:val="18"/>
            </w:rPr>
            <w:tab/>
          </w:r>
          <w:r>
            <w:rPr>
              <w:sz w:val="18"/>
              <w:szCs w:val="18"/>
            </w:rPr>
            <w:fldChar w:fldCharType="begin"/>
          </w:r>
          <w:r>
            <w:rPr>
              <w:sz w:val="18"/>
              <w:szCs w:val="18"/>
            </w:rPr>
            <w:instrText xml:space="preserve"> PAGEREF _Toc14995 \h </w:instrText>
          </w:r>
          <w:r>
            <w:rPr>
              <w:sz w:val="18"/>
              <w:szCs w:val="18"/>
            </w:rPr>
            <w:fldChar w:fldCharType="separate"/>
          </w:r>
          <w:r>
            <w:rPr>
              <w:sz w:val="18"/>
              <w:szCs w:val="18"/>
            </w:rPr>
            <w:t>21</w:t>
          </w:r>
          <w:r>
            <w:rPr>
              <w:sz w:val="18"/>
              <w:szCs w:val="18"/>
            </w:rPr>
            <w:fldChar w:fldCharType="end"/>
          </w:r>
          <w:r>
            <w:rPr>
              <w:sz w:val="18"/>
              <w:szCs w:val="18"/>
            </w:rPr>
            <w:fldChar w:fldCharType="end"/>
          </w:r>
        </w:p>
        <w:p>
          <w:pPr>
            <w:pStyle w:val="8"/>
            <w:tabs>
              <w:tab w:val="right" w:leader="dot" w:pos="8306"/>
            </w:tabs>
            <w:spacing w:line="300" w:lineRule="exact"/>
            <w:rPr>
              <w:sz w:val="18"/>
              <w:szCs w:val="18"/>
            </w:rPr>
          </w:pPr>
          <w:r>
            <w:fldChar w:fldCharType="begin"/>
          </w:r>
          <w:r>
            <w:instrText xml:space="preserve"> HYPERLINK \l "_Toc25778" </w:instrText>
          </w:r>
          <w:r>
            <w:fldChar w:fldCharType="separate"/>
          </w:r>
          <w:r>
            <w:rPr>
              <w:rFonts w:hint="eastAsia"/>
              <w:sz w:val="18"/>
              <w:szCs w:val="18"/>
            </w:rPr>
            <w:t>8.8 公共娱乐场所</w:t>
          </w:r>
          <w:r>
            <w:rPr>
              <w:sz w:val="18"/>
              <w:szCs w:val="18"/>
            </w:rPr>
            <w:tab/>
          </w:r>
          <w:r>
            <w:rPr>
              <w:sz w:val="18"/>
              <w:szCs w:val="18"/>
            </w:rPr>
            <w:fldChar w:fldCharType="begin"/>
          </w:r>
          <w:r>
            <w:rPr>
              <w:sz w:val="18"/>
              <w:szCs w:val="18"/>
            </w:rPr>
            <w:instrText xml:space="preserve"> PAGEREF _Toc25778 \h </w:instrText>
          </w:r>
          <w:r>
            <w:rPr>
              <w:sz w:val="18"/>
              <w:szCs w:val="18"/>
            </w:rPr>
            <w:fldChar w:fldCharType="separate"/>
          </w:r>
          <w:r>
            <w:rPr>
              <w:sz w:val="18"/>
              <w:szCs w:val="18"/>
            </w:rPr>
            <w:t>22</w:t>
          </w:r>
          <w:r>
            <w:rPr>
              <w:sz w:val="18"/>
              <w:szCs w:val="18"/>
            </w:rPr>
            <w:fldChar w:fldCharType="end"/>
          </w:r>
          <w:r>
            <w:rPr>
              <w:sz w:val="18"/>
              <w:szCs w:val="18"/>
            </w:rPr>
            <w:fldChar w:fldCharType="end"/>
          </w:r>
        </w:p>
        <w:p>
          <w:pPr>
            <w:pStyle w:val="8"/>
            <w:tabs>
              <w:tab w:val="right" w:leader="dot" w:pos="8306"/>
            </w:tabs>
            <w:spacing w:line="300" w:lineRule="exact"/>
            <w:rPr>
              <w:sz w:val="18"/>
              <w:szCs w:val="18"/>
            </w:rPr>
          </w:pPr>
          <w:r>
            <w:fldChar w:fldCharType="begin"/>
          </w:r>
          <w:r>
            <w:instrText xml:space="preserve"> HYPERLINK \l "_Toc9345" </w:instrText>
          </w:r>
          <w:r>
            <w:fldChar w:fldCharType="separate"/>
          </w:r>
          <w:r>
            <w:rPr>
              <w:rFonts w:hint="eastAsia"/>
              <w:sz w:val="18"/>
              <w:szCs w:val="18"/>
            </w:rPr>
            <w:t>8.9 餐饮场所</w:t>
          </w:r>
          <w:r>
            <w:rPr>
              <w:sz w:val="18"/>
              <w:szCs w:val="18"/>
            </w:rPr>
            <w:tab/>
          </w:r>
          <w:r>
            <w:rPr>
              <w:sz w:val="18"/>
              <w:szCs w:val="18"/>
            </w:rPr>
            <w:fldChar w:fldCharType="begin"/>
          </w:r>
          <w:r>
            <w:rPr>
              <w:sz w:val="18"/>
              <w:szCs w:val="18"/>
            </w:rPr>
            <w:instrText xml:space="preserve"> PAGEREF _Toc9345 \h </w:instrText>
          </w:r>
          <w:r>
            <w:rPr>
              <w:sz w:val="18"/>
              <w:szCs w:val="18"/>
            </w:rPr>
            <w:fldChar w:fldCharType="separate"/>
          </w:r>
          <w:r>
            <w:rPr>
              <w:sz w:val="18"/>
              <w:szCs w:val="18"/>
            </w:rPr>
            <w:t>23</w:t>
          </w:r>
          <w:r>
            <w:rPr>
              <w:sz w:val="18"/>
              <w:szCs w:val="18"/>
            </w:rPr>
            <w:fldChar w:fldCharType="end"/>
          </w:r>
          <w:r>
            <w:rPr>
              <w:sz w:val="18"/>
              <w:szCs w:val="18"/>
            </w:rPr>
            <w:fldChar w:fldCharType="end"/>
          </w:r>
        </w:p>
        <w:p>
          <w:pPr>
            <w:pStyle w:val="8"/>
            <w:tabs>
              <w:tab w:val="right" w:leader="dot" w:pos="8306"/>
            </w:tabs>
            <w:spacing w:line="300" w:lineRule="exact"/>
            <w:rPr>
              <w:sz w:val="18"/>
              <w:szCs w:val="18"/>
            </w:rPr>
          </w:pPr>
          <w:r>
            <w:fldChar w:fldCharType="begin"/>
          </w:r>
          <w:r>
            <w:instrText xml:space="preserve"> HYPERLINK \l "_Toc4477" </w:instrText>
          </w:r>
          <w:r>
            <w:fldChar w:fldCharType="separate"/>
          </w:r>
          <w:r>
            <w:rPr>
              <w:rFonts w:hint="eastAsia"/>
              <w:sz w:val="18"/>
              <w:szCs w:val="18"/>
            </w:rPr>
            <w:t>8.10 仓储场所</w:t>
          </w:r>
          <w:r>
            <w:rPr>
              <w:sz w:val="18"/>
              <w:szCs w:val="18"/>
            </w:rPr>
            <w:tab/>
          </w:r>
          <w:r>
            <w:rPr>
              <w:sz w:val="18"/>
              <w:szCs w:val="18"/>
            </w:rPr>
            <w:fldChar w:fldCharType="begin"/>
          </w:r>
          <w:r>
            <w:rPr>
              <w:sz w:val="18"/>
              <w:szCs w:val="18"/>
            </w:rPr>
            <w:instrText xml:space="preserve"> PAGEREF _Toc4477 \h </w:instrText>
          </w:r>
          <w:r>
            <w:rPr>
              <w:sz w:val="18"/>
              <w:szCs w:val="18"/>
            </w:rPr>
            <w:fldChar w:fldCharType="separate"/>
          </w:r>
          <w:r>
            <w:rPr>
              <w:sz w:val="18"/>
              <w:szCs w:val="18"/>
            </w:rPr>
            <w:t>24</w:t>
          </w:r>
          <w:r>
            <w:rPr>
              <w:sz w:val="18"/>
              <w:szCs w:val="18"/>
            </w:rPr>
            <w:fldChar w:fldCharType="end"/>
          </w:r>
          <w:r>
            <w:rPr>
              <w:sz w:val="18"/>
              <w:szCs w:val="18"/>
            </w:rPr>
            <w:fldChar w:fldCharType="end"/>
          </w:r>
        </w:p>
        <w:p>
          <w:pPr>
            <w:pStyle w:val="7"/>
            <w:tabs>
              <w:tab w:val="right" w:leader="dot" w:pos="8306"/>
            </w:tabs>
            <w:spacing w:line="300" w:lineRule="exact"/>
            <w:rPr>
              <w:sz w:val="18"/>
              <w:szCs w:val="18"/>
            </w:rPr>
          </w:pPr>
          <w:r>
            <w:fldChar w:fldCharType="begin"/>
          </w:r>
          <w:r>
            <w:instrText xml:space="preserve"> HYPERLINK \l "_Toc20606" </w:instrText>
          </w:r>
          <w:r>
            <w:fldChar w:fldCharType="separate"/>
          </w:r>
          <w:r>
            <w:rPr>
              <w:rFonts w:hint="eastAsia"/>
              <w:sz w:val="18"/>
              <w:szCs w:val="18"/>
            </w:rPr>
            <w:t>附表A  现场勘察内容</w:t>
          </w:r>
          <w:r>
            <w:rPr>
              <w:sz w:val="18"/>
              <w:szCs w:val="18"/>
            </w:rPr>
            <w:tab/>
          </w:r>
          <w:r>
            <w:rPr>
              <w:sz w:val="18"/>
              <w:szCs w:val="18"/>
            </w:rPr>
            <w:fldChar w:fldCharType="begin"/>
          </w:r>
          <w:r>
            <w:rPr>
              <w:sz w:val="18"/>
              <w:szCs w:val="18"/>
            </w:rPr>
            <w:instrText xml:space="preserve"> PAGEREF _Toc20606 \h </w:instrText>
          </w:r>
          <w:r>
            <w:rPr>
              <w:sz w:val="18"/>
              <w:szCs w:val="18"/>
            </w:rPr>
            <w:fldChar w:fldCharType="separate"/>
          </w:r>
          <w:r>
            <w:rPr>
              <w:sz w:val="18"/>
              <w:szCs w:val="18"/>
            </w:rPr>
            <w:t>26</w:t>
          </w:r>
          <w:r>
            <w:rPr>
              <w:sz w:val="18"/>
              <w:szCs w:val="18"/>
            </w:rPr>
            <w:fldChar w:fldCharType="end"/>
          </w:r>
          <w:r>
            <w:rPr>
              <w:sz w:val="18"/>
              <w:szCs w:val="18"/>
            </w:rPr>
            <w:fldChar w:fldCharType="end"/>
          </w:r>
        </w:p>
        <w:p>
          <w:pPr>
            <w:pStyle w:val="7"/>
            <w:tabs>
              <w:tab w:val="right" w:leader="dot" w:pos="8306"/>
            </w:tabs>
            <w:spacing w:line="300" w:lineRule="exact"/>
            <w:rPr>
              <w:sz w:val="18"/>
              <w:szCs w:val="18"/>
            </w:rPr>
          </w:pPr>
          <w:r>
            <w:fldChar w:fldCharType="begin"/>
          </w:r>
          <w:r>
            <w:instrText xml:space="preserve"> HYPERLINK \l "_Toc8204" </w:instrText>
          </w:r>
          <w:r>
            <w:fldChar w:fldCharType="separate"/>
          </w:r>
          <w:r>
            <w:rPr>
              <w:rFonts w:hint="eastAsia"/>
              <w:sz w:val="18"/>
              <w:szCs w:val="18"/>
            </w:rPr>
            <w:t>附录B资料收集内容</w:t>
          </w:r>
          <w:r>
            <w:rPr>
              <w:sz w:val="18"/>
              <w:szCs w:val="18"/>
            </w:rPr>
            <w:tab/>
          </w:r>
          <w:r>
            <w:rPr>
              <w:sz w:val="18"/>
              <w:szCs w:val="18"/>
            </w:rPr>
            <w:fldChar w:fldCharType="begin"/>
          </w:r>
          <w:r>
            <w:rPr>
              <w:sz w:val="18"/>
              <w:szCs w:val="18"/>
            </w:rPr>
            <w:instrText xml:space="preserve"> PAGEREF _Toc8204 \h </w:instrText>
          </w:r>
          <w:r>
            <w:rPr>
              <w:sz w:val="18"/>
              <w:szCs w:val="18"/>
            </w:rPr>
            <w:fldChar w:fldCharType="separate"/>
          </w:r>
          <w:r>
            <w:rPr>
              <w:sz w:val="18"/>
              <w:szCs w:val="18"/>
            </w:rPr>
            <w:t>27</w:t>
          </w:r>
          <w:r>
            <w:rPr>
              <w:sz w:val="18"/>
              <w:szCs w:val="18"/>
            </w:rPr>
            <w:fldChar w:fldCharType="end"/>
          </w:r>
          <w:r>
            <w:rPr>
              <w:sz w:val="18"/>
              <w:szCs w:val="18"/>
            </w:rPr>
            <w:fldChar w:fldCharType="end"/>
          </w:r>
        </w:p>
        <w:p>
          <w:pPr>
            <w:pStyle w:val="7"/>
            <w:tabs>
              <w:tab w:val="right" w:leader="dot" w:pos="8306"/>
            </w:tabs>
            <w:spacing w:line="300" w:lineRule="exact"/>
            <w:rPr>
              <w:sz w:val="18"/>
              <w:szCs w:val="18"/>
            </w:rPr>
          </w:pPr>
          <w:r>
            <w:fldChar w:fldCharType="begin"/>
          </w:r>
          <w:r>
            <w:instrText xml:space="preserve"> HYPERLINK \l "_Toc28767" </w:instrText>
          </w:r>
          <w:r>
            <w:fldChar w:fldCharType="separate"/>
          </w:r>
          <w:r>
            <w:rPr>
              <w:sz w:val="18"/>
              <w:szCs w:val="18"/>
            </w:rPr>
            <w:t>附录C 防火隔离带宽度计算</w:t>
          </w:r>
          <w:r>
            <w:rPr>
              <w:sz w:val="18"/>
              <w:szCs w:val="18"/>
            </w:rPr>
            <w:tab/>
          </w:r>
          <w:r>
            <w:rPr>
              <w:sz w:val="18"/>
              <w:szCs w:val="18"/>
            </w:rPr>
            <w:fldChar w:fldCharType="begin"/>
          </w:r>
          <w:r>
            <w:rPr>
              <w:sz w:val="18"/>
              <w:szCs w:val="18"/>
            </w:rPr>
            <w:instrText xml:space="preserve"> PAGEREF _Toc28767 \h </w:instrText>
          </w:r>
          <w:r>
            <w:rPr>
              <w:sz w:val="18"/>
              <w:szCs w:val="18"/>
            </w:rPr>
            <w:fldChar w:fldCharType="separate"/>
          </w:r>
          <w:r>
            <w:rPr>
              <w:sz w:val="18"/>
              <w:szCs w:val="18"/>
            </w:rPr>
            <w:t>29</w:t>
          </w:r>
          <w:r>
            <w:rPr>
              <w:sz w:val="18"/>
              <w:szCs w:val="18"/>
            </w:rPr>
            <w:fldChar w:fldCharType="end"/>
          </w:r>
          <w:r>
            <w:rPr>
              <w:sz w:val="18"/>
              <w:szCs w:val="18"/>
            </w:rPr>
            <w:fldChar w:fldCharType="end"/>
          </w:r>
        </w:p>
        <w:p>
          <w:pPr>
            <w:pStyle w:val="7"/>
            <w:tabs>
              <w:tab w:val="right" w:leader="dot" w:pos="8306"/>
            </w:tabs>
            <w:spacing w:line="300" w:lineRule="exact"/>
            <w:rPr>
              <w:sz w:val="18"/>
              <w:szCs w:val="18"/>
            </w:rPr>
          </w:pPr>
          <w:r>
            <w:fldChar w:fldCharType="begin"/>
          </w:r>
          <w:r>
            <w:instrText xml:space="preserve"> HYPERLINK \l "_Toc21604" </w:instrText>
          </w:r>
          <w:r>
            <w:fldChar w:fldCharType="separate"/>
          </w:r>
          <w:r>
            <w:rPr>
              <w:rFonts w:hint="eastAsia"/>
              <w:sz w:val="18"/>
              <w:szCs w:val="18"/>
            </w:rPr>
            <w:t>附图D 丽江古城火灾蔓延分级</w:t>
          </w:r>
          <w:r>
            <w:rPr>
              <w:sz w:val="18"/>
              <w:szCs w:val="18"/>
            </w:rPr>
            <w:tab/>
          </w:r>
          <w:r>
            <w:rPr>
              <w:sz w:val="18"/>
              <w:szCs w:val="18"/>
            </w:rPr>
            <w:fldChar w:fldCharType="begin"/>
          </w:r>
          <w:r>
            <w:rPr>
              <w:sz w:val="18"/>
              <w:szCs w:val="18"/>
            </w:rPr>
            <w:instrText xml:space="preserve"> PAGEREF _Toc21604 \h </w:instrText>
          </w:r>
          <w:r>
            <w:rPr>
              <w:sz w:val="18"/>
              <w:szCs w:val="18"/>
            </w:rPr>
            <w:fldChar w:fldCharType="separate"/>
          </w:r>
          <w:r>
            <w:rPr>
              <w:sz w:val="18"/>
              <w:szCs w:val="18"/>
            </w:rPr>
            <w:t>32</w:t>
          </w:r>
          <w:r>
            <w:rPr>
              <w:sz w:val="18"/>
              <w:szCs w:val="18"/>
            </w:rPr>
            <w:fldChar w:fldCharType="end"/>
          </w:r>
          <w:r>
            <w:rPr>
              <w:sz w:val="18"/>
              <w:szCs w:val="18"/>
            </w:rPr>
            <w:fldChar w:fldCharType="end"/>
          </w:r>
        </w:p>
        <w:p>
          <w:pPr>
            <w:pStyle w:val="7"/>
            <w:tabs>
              <w:tab w:val="right" w:leader="dot" w:pos="8306"/>
            </w:tabs>
            <w:spacing w:line="300" w:lineRule="exact"/>
            <w:rPr>
              <w:sz w:val="18"/>
              <w:szCs w:val="18"/>
            </w:rPr>
          </w:pPr>
          <w:r>
            <w:fldChar w:fldCharType="begin"/>
          </w:r>
          <w:r>
            <w:instrText xml:space="preserve"> HYPERLINK \l "_Toc13198" </w:instrText>
          </w:r>
          <w:r>
            <w:fldChar w:fldCharType="separate"/>
          </w:r>
          <w:r>
            <w:rPr>
              <w:rFonts w:hint="eastAsia"/>
              <w:sz w:val="18"/>
              <w:szCs w:val="18"/>
            </w:rPr>
            <w:t>附表E 各个分级区域说明</w:t>
          </w:r>
          <w:r>
            <w:rPr>
              <w:sz w:val="18"/>
              <w:szCs w:val="18"/>
            </w:rPr>
            <w:tab/>
          </w:r>
          <w:r>
            <w:rPr>
              <w:sz w:val="18"/>
              <w:szCs w:val="18"/>
            </w:rPr>
            <w:fldChar w:fldCharType="begin"/>
          </w:r>
          <w:r>
            <w:rPr>
              <w:sz w:val="18"/>
              <w:szCs w:val="18"/>
            </w:rPr>
            <w:instrText xml:space="preserve"> PAGEREF _Toc13198 \h </w:instrText>
          </w:r>
          <w:r>
            <w:rPr>
              <w:sz w:val="18"/>
              <w:szCs w:val="18"/>
            </w:rPr>
            <w:fldChar w:fldCharType="separate"/>
          </w:r>
          <w:r>
            <w:rPr>
              <w:sz w:val="18"/>
              <w:szCs w:val="18"/>
            </w:rPr>
            <w:t>38</w:t>
          </w:r>
          <w:r>
            <w:rPr>
              <w:sz w:val="18"/>
              <w:szCs w:val="18"/>
            </w:rPr>
            <w:fldChar w:fldCharType="end"/>
          </w:r>
          <w:r>
            <w:rPr>
              <w:sz w:val="18"/>
              <w:szCs w:val="18"/>
            </w:rPr>
            <w:fldChar w:fldCharType="end"/>
          </w:r>
        </w:p>
        <w:p>
          <w:pPr>
            <w:pStyle w:val="7"/>
            <w:tabs>
              <w:tab w:val="right" w:leader="dot" w:pos="8306"/>
            </w:tabs>
            <w:spacing w:line="300" w:lineRule="exact"/>
            <w:rPr>
              <w:sz w:val="18"/>
              <w:szCs w:val="18"/>
            </w:rPr>
          </w:pPr>
          <w:r>
            <w:fldChar w:fldCharType="begin"/>
          </w:r>
          <w:r>
            <w:instrText xml:space="preserve"> HYPERLINK \l "_Toc5585" </w:instrText>
          </w:r>
          <w:r>
            <w:fldChar w:fldCharType="separate"/>
          </w:r>
          <w:r>
            <w:rPr>
              <w:rFonts w:hint="eastAsia"/>
              <w:sz w:val="18"/>
              <w:szCs w:val="18"/>
            </w:rPr>
            <w:t>附图F 古城主要道路宽度分布图</w:t>
          </w:r>
          <w:r>
            <w:rPr>
              <w:sz w:val="18"/>
              <w:szCs w:val="18"/>
            </w:rPr>
            <w:tab/>
          </w:r>
          <w:r>
            <w:rPr>
              <w:sz w:val="18"/>
              <w:szCs w:val="18"/>
            </w:rPr>
            <w:fldChar w:fldCharType="begin"/>
          </w:r>
          <w:r>
            <w:rPr>
              <w:sz w:val="18"/>
              <w:szCs w:val="18"/>
            </w:rPr>
            <w:instrText xml:space="preserve"> PAGEREF _Toc5585 \h </w:instrText>
          </w:r>
          <w:r>
            <w:rPr>
              <w:sz w:val="18"/>
              <w:szCs w:val="18"/>
            </w:rPr>
            <w:fldChar w:fldCharType="separate"/>
          </w:r>
          <w:r>
            <w:rPr>
              <w:sz w:val="18"/>
              <w:szCs w:val="18"/>
            </w:rPr>
            <w:t>43</w:t>
          </w:r>
          <w:r>
            <w:rPr>
              <w:sz w:val="18"/>
              <w:szCs w:val="18"/>
            </w:rPr>
            <w:fldChar w:fldCharType="end"/>
          </w:r>
          <w:r>
            <w:rPr>
              <w:sz w:val="18"/>
              <w:szCs w:val="18"/>
            </w:rPr>
            <w:fldChar w:fldCharType="end"/>
          </w:r>
        </w:p>
        <w:p>
          <w:pPr>
            <w:pStyle w:val="7"/>
            <w:tabs>
              <w:tab w:val="right" w:leader="dot" w:pos="8306"/>
            </w:tabs>
            <w:spacing w:line="300" w:lineRule="exact"/>
            <w:rPr>
              <w:sz w:val="18"/>
              <w:szCs w:val="18"/>
            </w:rPr>
          </w:pPr>
          <w:r>
            <w:fldChar w:fldCharType="begin"/>
          </w:r>
          <w:r>
            <w:instrText xml:space="preserve"> HYPERLINK \l "_Toc19312" </w:instrText>
          </w:r>
          <w:r>
            <w:fldChar w:fldCharType="separate"/>
          </w:r>
          <w:r>
            <w:rPr>
              <w:rFonts w:hint="eastAsia"/>
              <w:sz w:val="18"/>
              <w:szCs w:val="18"/>
            </w:rPr>
            <w:t>附图G 古城市政管网水压分布图</w:t>
          </w:r>
          <w:r>
            <w:rPr>
              <w:sz w:val="18"/>
              <w:szCs w:val="18"/>
            </w:rPr>
            <w:tab/>
          </w:r>
          <w:r>
            <w:rPr>
              <w:sz w:val="18"/>
              <w:szCs w:val="18"/>
            </w:rPr>
            <w:fldChar w:fldCharType="begin"/>
          </w:r>
          <w:r>
            <w:rPr>
              <w:sz w:val="18"/>
              <w:szCs w:val="18"/>
            </w:rPr>
            <w:instrText xml:space="preserve"> PAGEREF _Toc19312 \h </w:instrText>
          </w:r>
          <w:r>
            <w:rPr>
              <w:sz w:val="18"/>
              <w:szCs w:val="18"/>
            </w:rPr>
            <w:fldChar w:fldCharType="separate"/>
          </w:r>
          <w:r>
            <w:rPr>
              <w:sz w:val="18"/>
              <w:szCs w:val="18"/>
            </w:rPr>
            <w:t>46</w:t>
          </w:r>
          <w:r>
            <w:rPr>
              <w:sz w:val="18"/>
              <w:szCs w:val="18"/>
            </w:rPr>
            <w:fldChar w:fldCharType="end"/>
          </w:r>
          <w:r>
            <w:rPr>
              <w:sz w:val="18"/>
              <w:szCs w:val="18"/>
            </w:rPr>
            <w:fldChar w:fldCharType="end"/>
          </w:r>
        </w:p>
        <w:p>
          <w:pPr>
            <w:pStyle w:val="7"/>
            <w:tabs>
              <w:tab w:val="right" w:leader="dot" w:pos="8306"/>
            </w:tabs>
            <w:spacing w:line="300" w:lineRule="exact"/>
            <w:rPr>
              <w:sz w:val="18"/>
              <w:szCs w:val="18"/>
            </w:rPr>
          </w:pPr>
          <w:r>
            <w:fldChar w:fldCharType="begin"/>
          </w:r>
          <w:r>
            <w:instrText xml:space="preserve"> HYPERLINK \l "_Toc16976" </w:instrText>
          </w:r>
          <w:r>
            <w:fldChar w:fldCharType="separate"/>
          </w:r>
          <w:r>
            <w:rPr>
              <w:rFonts w:hint="eastAsia"/>
              <w:sz w:val="18"/>
              <w:szCs w:val="18"/>
            </w:rPr>
            <w:t>条文说明</w:t>
          </w:r>
          <w:r>
            <w:rPr>
              <w:sz w:val="18"/>
              <w:szCs w:val="18"/>
            </w:rPr>
            <w:tab/>
          </w:r>
          <w:r>
            <w:rPr>
              <w:sz w:val="18"/>
              <w:szCs w:val="18"/>
            </w:rPr>
            <w:fldChar w:fldCharType="begin"/>
          </w:r>
          <w:r>
            <w:rPr>
              <w:sz w:val="18"/>
              <w:szCs w:val="18"/>
            </w:rPr>
            <w:instrText xml:space="preserve"> PAGEREF _Toc16976 \h </w:instrText>
          </w:r>
          <w:r>
            <w:rPr>
              <w:sz w:val="18"/>
              <w:szCs w:val="18"/>
            </w:rPr>
            <w:fldChar w:fldCharType="separate"/>
          </w:r>
          <w:r>
            <w:rPr>
              <w:sz w:val="18"/>
              <w:szCs w:val="18"/>
            </w:rPr>
            <w:t>48</w:t>
          </w:r>
          <w:r>
            <w:rPr>
              <w:sz w:val="18"/>
              <w:szCs w:val="18"/>
            </w:rPr>
            <w:fldChar w:fldCharType="end"/>
          </w:r>
          <w:r>
            <w:rPr>
              <w:sz w:val="18"/>
              <w:szCs w:val="18"/>
            </w:rPr>
            <w:fldChar w:fldCharType="end"/>
          </w:r>
        </w:p>
        <w:p>
          <w:pPr>
            <w:pStyle w:val="8"/>
            <w:tabs>
              <w:tab w:val="right" w:leader="dot" w:pos="8306"/>
            </w:tabs>
            <w:spacing w:line="300" w:lineRule="exact"/>
            <w:rPr>
              <w:sz w:val="18"/>
              <w:szCs w:val="18"/>
            </w:rPr>
          </w:pPr>
          <w:r>
            <w:fldChar w:fldCharType="begin"/>
          </w:r>
          <w:r>
            <w:instrText xml:space="preserve"> HYPERLINK \l "_Toc20394" </w:instrText>
          </w:r>
          <w:r>
            <w:fldChar w:fldCharType="separate"/>
          </w:r>
          <w:r>
            <w:rPr>
              <w:rFonts w:hint="eastAsia"/>
              <w:sz w:val="18"/>
              <w:szCs w:val="18"/>
            </w:rPr>
            <w:t>1.总则</w:t>
          </w:r>
          <w:r>
            <w:rPr>
              <w:sz w:val="18"/>
              <w:szCs w:val="18"/>
            </w:rPr>
            <w:tab/>
          </w:r>
          <w:r>
            <w:rPr>
              <w:sz w:val="18"/>
              <w:szCs w:val="18"/>
            </w:rPr>
            <w:fldChar w:fldCharType="begin"/>
          </w:r>
          <w:r>
            <w:rPr>
              <w:sz w:val="18"/>
              <w:szCs w:val="18"/>
            </w:rPr>
            <w:instrText xml:space="preserve"> PAGEREF _Toc20394 \h </w:instrText>
          </w:r>
          <w:r>
            <w:rPr>
              <w:sz w:val="18"/>
              <w:szCs w:val="18"/>
            </w:rPr>
            <w:fldChar w:fldCharType="separate"/>
          </w:r>
          <w:r>
            <w:rPr>
              <w:sz w:val="18"/>
              <w:szCs w:val="18"/>
            </w:rPr>
            <w:t>48</w:t>
          </w:r>
          <w:r>
            <w:rPr>
              <w:sz w:val="18"/>
              <w:szCs w:val="18"/>
            </w:rPr>
            <w:fldChar w:fldCharType="end"/>
          </w:r>
          <w:r>
            <w:rPr>
              <w:sz w:val="18"/>
              <w:szCs w:val="18"/>
            </w:rPr>
            <w:fldChar w:fldCharType="end"/>
          </w:r>
        </w:p>
        <w:p>
          <w:pPr>
            <w:pStyle w:val="8"/>
            <w:tabs>
              <w:tab w:val="right" w:leader="dot" w:pos="8306"/>
            </w:tabs>
            <w:spacing w:line="300" w:lineRule="exact"/>
            <w:rPr>
              <w:sz w:val="18"/>
              <w:szCs w:val="18"/>
            </w:rPr>
          </w:pPr>
          <w:r>
            <w:fldChar w:fldCharType="begin"/>
          </w:r>
          <w:r>
            <w:instrText xml:space="preserve"> HYPERLINK \l "_Toc26141" </w:instrText>
          </w:r>
          <w:r>
            <w:fldChar w:fldCharType="separate"/>
          </w:r>
          <w:r>
            <w:rPr>
              <w:rFonts w:hint="eastAsia"/>
              <w:sz w:val="18"/>
              <w:szCs w:val="18"/>
            </w:rPr>
            <w:t>2.规范性引用文件</w:t>
          </w:r>
          <w:r>
            <w:rPr>
              <w:sz w:val="18"/>
              <w:szCs w:val="18"/>
            </w:rPr>
            <w:tab/>
          </w:r>
          <w:r>
            <w:rPr>
              <w:sz w:val="18"/>
              <w:szCs w:val="18"/>
            </w:rPr>
            <w:fldChar w:fldCharType="begin"/>
          </w:r>
          <w:r>
            <w:rPr>
              <w:sz w:val="18"/>
              <w:szCs w:val="18"/>
            </w:rPr>
            <w:instrText xml:space="preserve"> PAGEREF _Toc26141 \h </w:instrText>
          </w:r>
          <w:r>
            <w:rPr>
              <w:sz w:val="18"/>
              <w:szCs w:val="18"/>
            </w:rPr>
            <w:fldChar w:fldCharType="separate"/>
          </w:r>
          <w:r>
            <w:rPr>
              <w:sz w:val="18"/>
              <w:szCs w:val="18"/>
            </w:rPr>
            <w:t>49</w:t>
          </w:r>
          <w:r>
            <w:rPr>
              <w:sz w:val="18"/>
              <w:szCs w:val="18"/>
            </w:rPr>
            <w:fldChar w:fldCharType="end"/>
          </w:r>
          <w:r>
            <w:rPr>
              <w:sz w:val="18"/>
              <w:szCs w:val="18"/>
            </w:rPr>
            <w:fldChar w:fldCharType="end"/>
          </w:r>
        </w:p>
        <w:p>
          <w:pPr>
            <w:pStyle w:val="8"/>
            <w:tabs>
              <w:tab w:val="right" w:leader="dot" w:pos="8306"/>
            </w:tabs>
            <w:spacing w:line="300" w:lineRule="exact"/>
            <w:rPr>
              <w:sz w:val="18"/>
              <w:szCs w:val="18"/>
            </w:rPr>
          </w:pPr>
          <w:r>
            <w:fldChar w:fldCharType="begin"/>
          </w:r>
          <w:r>
            <w:instrText xml:space="preserve"> HYPERLINK \l "_Toc27121" </w:instrText>
          </w:r>
          <w:r>
            <w:fldChar w:fldCharType="separate"/>
          </w:r>
          <w:r>
            <w:rPr>
              <w:rFonts w:hint="eastAsia"/>
              <w:sz w:val="18"/>
              <w:szCs w:val="18"/>
            </w:rPr>
            <w:t>3.术语</w:t>
          </w:r>
          <w:r>
            <w:rPr>
              <w:sz w:val="18"/>
              <w:szCs w:val="18"/>
            </w:rPr>
            <w:tab/>
          </w:r>
          <w:r>
            <w:rPr>
              <w:sz w:val="18"/>
              <w:szCs w:val="18"/>
            </w:rPr>
            <w:fldChar w:fldCharType="begin"/>
          </w:r>
          <w:r>
            <w:rPr>
              <w:sz w:val="18"/>
              <w:szCs w:val="18"/>
            </w:rPr>
            <w:instrText xml:space="preserve"> PAGEREF _Toc27121 \h </w:instrText>
          </w:r>
          <w:r>
            <w:rPr>
              <w:sz w:val="18"/>
              <w:szCs w:val="18"/>
            </w:rPr>
            <w:fldChar w:fldCharType="separate"/>
          </w:r>
          <w:r>
            <w:rPr>
              <w:sz w:val="18"/>
              <w:szCs w:val="18"/>
            </w:rPr>
            <w:t>49</w:t>
          </w:r>
          <w:r>
            <w:rPr>
              <w:sz w:val="18"/>
              <w:szCs w:val="18"/>
            </w:rPr>
            <w:fldChar w:fldCharType="end"/>
          </w:r>
          <w:r>
            <w:rPr>
              <w:sz w:val="18"/>
              <w:szCs w:val="18"/>
            </w:rPr>
            <w:fldChar w:fldCharType="end"/>
          </w:r>
        </w:p>
        <w:p>
          <w:pPr>
            <w:pStyle w:val="8"/>
            <w:tabs>
              <w:tab w:val="right" w:leader="dot" w:pos="8306"/>
            </w:tabs>
            <w:spacing w:line="300" w:lineRule="exact"/>
            <w:rPr>
              <w:sz w:val="18"/>
              <w:szCs w:val="18"/>
            </w:rPr>
          </w:pPr>
          <w:r>
            <w:fldChar w:fldCharType="begin"/>
          </w:r>
          <w:r>
            <w:instrText xml:space="preserve"> HYPERLINK \l "_Toc16605" </w:instrText>
          </w:r>
          <w:r>
            <w:fldChar w:fldCharType="separate"/>
          </w:r>
          <w:r>
            <w:rPr>
              <w:rFonts w:hint="eastAsia"/>
              <w:sz w:val="18"/>
              <w:szCs w:val="18"/>
            </w:rPr>
            <w:t>4.现场勘查与消防安全评估</w:t>
          </w:r>
          <w:r>
            <w:rPr>
              <w:sz w:val="18"/>
              <w:szCs w:val="18"/>
            </w:rPr>
            <w:tab/>
          </w:r>
          <w:r>
            <w:rPr>
              <w:sz w:val="18"/>
              <w:szCs w:val="18"/>
            </w:rPr>
            <w:fldChar w:fldCharType="begin"/>
          </w:r>
          <w:r>
            <w:rPr>
              <w:sz w:val="18"/>
              <w:szCs w:val="18"/>
            </w:rPr>
            <w:instrText xml:space="preserve"> PAGEREF _Toc16605 \h </w:instrText>
          </w:r>
          <w:r>
            <w:rPr>
              <w:sz w:val="18"/>
              <w:szCs w:val="18"/>
            </w:rPr>
            <w:fldChar w:fldCharType="separate"/>
          </w:r>
          <w:r>
            <w:rPr>
              <w:sz w:val="18"/>
              <w:szCs w:val="18"/>
            </w:rPr>
            <w:t>49</w:t>
          </w:r>
          <w:r>
            <w:rPr>
              <w:sz w:val="18"/>
              <w:szCs w:val="18"/>
            </w:rPr>
            <w:fldChar w:fldCharType="end"/>
          </w:r>
          <w:r>
            <w:rPr>
              <w:sz w:val="18"/>
              <w:szCs w:val="18"/>
            </w:rPr>
            <w:fldChar w:fldCharType="end"/>
          </w:r>
        </w:p>
        <w:p>
          <w:pPr>
            <w:pStyle w:val="8"/>
            <w:tabs>
              <w:tab w:val="right" w:leader="dot" w:pos="8306"/>
            </w:tabs>
            <w:spacing w:line="300" w:lineRule="exact"/>
            <w:rPr>
              <w:sz w:val="18"/>
              <w:szCs w:val="18"/>
            </w:rPr>
          </w:pPr>
          <w:r>
            <w:fldChar w:fldCharType="begin"/>
          </w:r>
          <w:r>
            <w:instrText xml:space="preserve"> HYPERLINK \l "_Toc11536" </w:instrText>
          </w:r>
          <w:r>
            <w:fldChar w:fldCharType="separate"/>
          </w:r>
          <w:r>
            <w:rPr>
              <w:rFonts w:hint="eastAsia"/>
              <w:sz w:val="18"/>
              <w:szCs w:val="18"/>
            </w:rPr>
            <w:t>5.消防安全总体布局</w:t>
          </w:r>
          <w:r>
            <w:rPr>
              <w:sz w:val="18"/>
              <w:szCs w:val="18"/>
            </w:rPr>
            <w:tab/>
          </w:r>
          <w:r>
            <w:rPr>
              <w:sz w:val="18"/>
              <w:szCs w:val="18"/>
            </w:rPr>
            <w:fldChar w:fldCharType="begin"/>
          </w:r>
          <w:r>
            <w:rPr>
              <w:sz w:val="18"/>
              <w:szCs w:val="18"/>
            </w:rPr>
            <w:instrText xml:space="preserve"> PAGEREF _Toc11536 \h </w:instrText>
          </w:r>
          <w:r>
            <w:rPr>
              <w:sz w:val="18"/>
              <w:szCs w:val="18"/>
            </w:rPr>
            <w:fldChar w:fldCharType="separate"/>
          </w:r>
          <w:r>
            <w:rPr>
              <w:sz w:val="18"/>
              <w:szCs w:val="18"/>
            </w:rPr>
            <w:t>49</w:t>
          </w:r>
          <w:r>
            <w:rPr>
              <w:sz w:val="18"/>
              <w:szCs w:val="18"/>
            </w:rPr>
            <w:fldChar w:fldCharType="end"/>
          </w:r>
          <w:r>
            <w:rPr>
              <w:sz w:val="18"/>
              <w:szCs w:val="18"/>
            </w:rPr>
            <w:fldChar w:fldCharType="end"/>
          </w:r>
        </w:p>
        <w:p>
          <w:pPr>
            <w:pStyle w:val="8"/>
            <w:tabs>
              <w:tab w:val="right" w:leader="dot" w:pos="8306"/>
            </w:tabs>
            <w:spacing w:line="300" w:lineRule="exact"/>
            <w:rPr>
              <w:sz w:val="18"/>
              <w:szCs w:val="18"/>
            </w:rPr>
          </w:pPr>
          <w:r>
            <w:fldChar w:fldCharType="begin"/>
          </w:r>
          <w:r>
            <w:instrText xml:space="preserve"> HYPERLINK \l "_Toc3331" </w:instrText>
          </w:r>
          <w:r>
            <w:fldChar w:fldCharType="separate"/>
          </w:r>
          <w:r>
            <w:rPr>
              <w:rFonts w:hint="eastAsia"/>
              <w:sz w:val="18"/>
              <w:szCs w:val="18"/>
            </w:rPr>
            <w:t>6.消防设施</w:t>
          </w:r>
          <w:r>
            <w:rPr>
              <w:sz w:val="18"/>
              <w:szCs w:val="18"/>
            </w:rPr>
            <w:tab/>
          </w:r>
          <w:r>
            <w:rPr>
              <w:sz w:val="18"/>
              <w:szCs w:val="18"/>
            </w:rPr>
            <w:fldChar w:fldCharType="begin"/>
          </w:r>
          <w:r>
            <w:rPr>
              <w:sz w:val="18"/>
              <w:szCs w:val="18"/>
            </w:rPr>
            <w:instrText xml:space="preserve"> PAGEREF _Toc3331 \h </w:instrText>
          </w:r>
          <w:r>
            <w:rPr>
              <w:sz w:val="18"/>
              <w:szCs w:val="18"/>
            </w:rPr>
            <w:fldChar w:fldCharType="separate"/>
          </w:r>
          <w:r>
            <w:rPr>
              <w:sz w:val="18"/>
              <w:szCs w:val="18"/>
            </w:rPr>
            <w:t>51</w:t>
          </w:r>
          <w:r>
            <w:rPr>
              <w:sz w:val="18"/>
              <w:szCs w:val="18"/>
            </w:rPr>
            <w:fldChar w:fldCharType="end"/>
          </w:r>
          <w:r>
            <w:rPr>
              <w:sz w:val="18"/>
              <w:szCs w:val="18"/>
            </w:rPr>
            <w:fldChar w:fldCharType="end"/>
          </w:r>
        </w:p>
        <w:p>
          <w:pPr>
            <w:pStyle w:val="8"/>
            <w:tabs>
              <w:tab w:val="right" w:leader="dot" w:pos="8306"/>
            </w:tabs>
            <w:spacing w:line="300" w:lineRule="exact"/>
            <w:rPr>
              <w:sz w:val="18"/>
              <w:szCs w:val="18"/>
            </w:rPr>
          </w:pPr>
          <w:r>
            <w:fldChar w:fldCharType="begin"/>
          </w:r>
          <w:r>
            <w:instrText xml:space="preserve"> HYPERLINK \l "_Toc22841" </w:instrText>
          </w:r>
          <w:r>
            <w:fldChar w:fldCharType="separate"/>
          </w:r>
          <w:r>
            <w:rPr>
              <w:rFonts w:hint="eastAsia"/>
              <w:sz w:val="18"/>
              <w:szCs w:val="18"/>
            </w:rPr>
            <w:t>7.火灾危险源控制</w:t>
          </w:r>
          <w:r>
            <w:rPr>
              <w:sz w:val="18"/>
              <w:szCs w:val="18"/>
            </w:rPr>
            <w:tab/>
          </w:r>
          <w:r>
            <w:rPr>
              <w:sz w:val="18"/>
              <w:szCs w:val="18"/>
            </w:rPr>
            <w:fldChar w:fldCharType="begin"/>
          </w:r>
          <w:r>
            <w:rPr>
              <w:sz w:val="18"/>
              <w:szCs w:val="18"/>
            </w:rPr>
            <w:instrText xml:space="preserve"> PAGEREF _Toc22841 \h </w:instrText>
          </w:r>
          <w:r>
            <w:rPr>
              <w:sz w:val="18"/>
              <w:szCs w:val="18"/>
            </w:rPr>
            <w:fldChar w:fldCharType="separate"/>
          </w:r>
          <w:r>
            <w:rPr>
              <w:sz w:val="18"/>
              <w:szCs w:val="18"/>
            </w:rPr>
            <w:t>53</w:t>
          </w:r>
          <w:r>
            <w:rPr>
              <w:sz w:val="18"/>
              <w:szCs w:val="18"/>
            </w:rPr>
            <w:fldChar w:fldCharType="end"/>
          </w:r>
          <w:r>
            <w:rPr>
              <w:sz w:val="18"/>
              <w:szCs w:val="18"/>
            </w:rPr>
            <w:fldChar w:fldCharType="end"/>
          </w:r>
        </w:p>
        <w:p>
          <w:pPr>
            <w:pStyle w:val="8"/>
            <w:tabs>
              <w:tab w:val="right" w:leader="dot" w:pos="8306"/>
            </w:tabs>
            <w:spacing w:line="300" w:lineRule="exact"/>
          </w:pPr>
          <w:r>
            <w:fldChar w:fldCharType="begin"/>
          </w:r>
          <w:r>
            <w:instrText xml:space="preserve"> HYPERLINK \l "_Toc25432" </w:instrText>
          </w:r>
          <w:r>
            <w:fldChar w:fldCharType="separate"/>
          </w:r>
          <w:r>
            <w:rPr>
              <w:rFonts w:hint="eastAsia"/>
              <w:sz w:val="18"/>
              <w:szCs w:val="18"/>
            </w:rPr>
            <w:t>8.常见场所火灾防控要求</w:t>
          </w:r>
          <w:r>
            <w:rPr>
              <w:sz w:val="18"/>
              <w:szCs w:val="18"/>
            </w:rPr>
            <w:tab/>
          </w:r>
          <w:r>
            <w:rPr>
              <w:sz w:val="18"/>
              <w:szCs w:val="18"/>
            </w:rPr>
            <w:fldChar w:fldCharType="begin"/>
          </w:r>
          <w:r>
            <w:rPr>
              <w:sz w:val="18"/>
              <w:szCs w:val="18"/>
            </w:rPr>
            <w:instrText xml:space="preserve"> PAGEREF _Toc25432 \h </w:instrText>
          </w:r>
          <w:r>
            <w:rPr>
              <w:sz w:val="18"/>
              <w:szCs w:val="18"/>
            </w:rPr>
            <w:fldChar w:fldCharType="separate"/>
          </w:r>
          <w:r>
            <w:rPr>
              <w:sz w:val="18"/>
              <w:szCs w:val="18"/>
            </w:rPr>
            <w:t>56</w:t>
          </w:r>
          <w:r>
            <w:rPr>
              <w:sz w:val="18"/>
              <w:szCs w:val="18"/>
            </w:rPr>
            <w:fldChar w:fldCharType="end"/>
          </w:r>
          <w:r>
            <w:rPr>
              <w:sz w:val="18"/>
              <w:szCs w:val="18"/>
            </w:rPr>
            <w:fldChar w:fldCharType="end"/>
          </w:r>
        </w:p>
        <w:p>
          <w:r>
            <w:fldChar w:fldCharType="end"/>
          </w:r>
        </w:p>
      </w:sdtContent>
    </w:sdt>
    <w:p>
      <w:pPr>
        <w:rPr>
          <w:sz w:val="32"/>
          <w:szCs w:val="32"/>
        </w:rPr>
      </w:pPr>
      <w:r>
        <w:rPr>
          <w:rFonts w:hint="eastAsia"/>
          <w:sz w:val="32"/>
          <w:szCs w:val="32"/>
        </w:rPr>
        <w:br w:type="page"/>
      </w:r>
    </w:p>
    <w:p>
      <w:pPr>
        <w:pStyle w:val="2"/>
        <w:jc w:val="center"/>
        <w:rPr>
          <w:sz w:val="32"/>
          <w:szCs w:val="32"/>
        </w:rPr>
      </w:pPr>
      <w:bookmarkStart w:id="0" w:name="_Toc25480"/>
      <w:r>
        <w:rPr>
          <w:rFonts w:hint="eastAsia"/>
          <w:sz w:val="32"/>
          <w:szCs w:val="32"/>
        </w:rPr>
        <w:t>1.总则</w:t>
      </w:r>
      <w:bookmarkEnd w:id="0"/>
    </w:p>
    <w:p>
      <w:pPr>
        <w:spacing w:line="360" w:lineRule="auto"/>
        <w:jc w:val="left"/>
        <w:rPr>
          <w:sz w:val="24"/>
        </w:rPr>
      </w:pPr>
      <w:r>
        <w:rPr>
          <w:rFonts w:hint="eastAsia"/>
          <w:sz w:val="24"/>
        </w:rPr>
        <w:t>1.0.1为保护世界文化遗产丽江古城，指导和规范古城建筑防火和消防安全改造，预防建筑火灾的发生，减少火灾危害，制定本导则。</w:t>
      </w:r>
    </w:p>
    <w:p>
      <w:pPr>
        <w:pStyle w:val="9"/>
        <w:shd w:val="clear" w:color="auto" w:fill="FFFFFF"/>
        <w:spacing w:before="0" w:beforeAutospacing="0" w:after="150" w:afterAutospacing="0" w:line="360" w:lineRule="auto"/>
        <w:rPr>
          <w:rFonts w:ascii="Times New Roman" w:hAnsi="Times New Roman" w:cs="Times New Roman"/>
          <w:kern w:val="2"/>
        </w:rPr>
      </w:pPr>
      <w:r>
        <w:rPr>
          <w:rFonts w:hint="eastAsia" w:ascii="Times New Roman" w:hAnsi="Times New Roman" w:cs="Times New Roman"/>
          <w:kern w:val="2"/>
        </w:rPr>
        <w:t xml:space="preserve">1.0.2 </w:t>
      </w:r>
      <w:r>
        <w:rPr>
          <w:rFonts w:hint="eastAsia"/>
        </w:rPr>
        <w:t>丽江古城区域消防规划、</w:t>
      </w:r>
      <w:r>
        <w:rPr>
          <w:rFonts w:hint="eastAsia" w:ascii="Times New Roman" w:hAnsi="Times New Roman" w:cs="Times New Roman"/>
          <w:kern w:val="2"/>
        </w:rPr>
        <w:t>古建筑的修缮、改建、扩建和消防安全改造应遵循“预防为主、防消结合”的指导思想，消防设施的使用应本着优先利用或者改造现有的消防基础设施、遵循最小化干预的原则，尽量保护古城传统风貌。</w:t>
      </w:r>
    </w:p>
    <w:p>
      <w:pPr>
        <w:spacing w:line="360" w:lineRule="auto"/>
        <w:jc w:val="left"/>
        <w:rPr>
          <w:sz w:val="24"/>
        </w:rPr>
      </w:pPr>
      <w:r>
        <w:rPr>
          <w:rFonts w:hint="eastAsia"/>
          <w:sz w:val="24"/>
        </w:rPr>
        <w:t>1.0.3本导则适用于丽江古城保护区、建设控制缓冲区和环境协调区的区域消防规划，古建筑的修缮、改建、扩建和消防安全改造，上述区域以外的建设工程项目和文物建筑应执行现行国家相关消防安全技术标准。</w:t>
      </w:r>
    </w:p>
    <w:p>
      <w:pPr>
        <w:pStyle w:val="9"/>
        <w:shd w:val="clear" w:color="auto" w:fill="FFFFFF"/>
        <w:spacing w:before="0" w:beforeAutospacing="0" w:after="150" w:afterAutospacing="0" w:line="360" w:lineRule="auto"/>
        <w:rPr>
          <w:rFonts w:ascii="Times New Roman" w:hAnsi="Times New Roman" w:cs="Times New Roman"/>
          <w:kern w:val="2"/>
        </w:rPr>
      </w:pPr>
      <w:r>
        <w:rPr>
          <w:rFonts w:hint="eastAsia" w:ascii="Times New Roman" w:hAnsi="Times New Roman" w:cs="Times New Roman"/>
          <w:kern w:val="2"/>
        </w:rPr>
        <w:t>1.0.4 古城内消防设施、消防通道确因古城保护需要而无法按照标准和规范设置的，应由城市、县人民政府消防救援部门会同同级城乡规划主管部门制定专门的防火安全保障方案。</w:t>
      </w:r>
    </w:p>
    <w:p>
      <w:pPr>
        <w:pStyle w:val="9"/>
        <w:shd w:val="clear" w:color="auto" w:fill="FFFFFF"/>
        <w:spacing w:before="0" w:beforeAutospacing="0" w:after="150" w:afterAutospacing="0" w:line="360" w:lineRule="auto"/>
        <w:rPr>
          <w:rFonts w:ascii="Times New Roman" w:hAnsi="Times New Roman" w:cs="Times New Roman"/>
          <w:kern w:val="2"/>
        </w:rPr>
      </w:pPr>
      <w:r>
        <w:rPr>
          <w:rFonts w:hint="eastAsia" w:ascii="Times New Roman" w:hAnsi="Times New Roman" w:cs="Times New Roman"/>
          <w:kern w:val="2"/>
        </w:rPr>
        <w:t>1.0.5 古城内</w:t>
      </w:r>
      <w:r>
        <w:rPr>
          <w:rFonts w:ascii="Times New Roman" w:hAnsi="Times New Roman" w:cs="Times New Roman"/>
          <w:kern w:val="2"/>
        </w:rPr>
        <w:t>鼓励和支持大数据、物联网、云计算等现代信息技术在消防设施管理上的应用，推进</w:t>
      </w:r>
      <w:r>
        <w:rPr>
          <w:rFonts w:hint="eastAsia" w:ascii="Times New Roman" w:hAnsi="Times New Roman" w:cs="Times New Roman"/>
          <w:kern w:val="2"/>
        </w:rPr>
        <w:t>古城“</w:t>
      </w:r>
      <w:r>
        <w:rPr>
          <w:rFonts w:ascii="Times New Roman" w:hAnsi="Times New Roman" w:cs="Times New Roman"/>
          <w:kern w:val="2"/>
        </w:rPr>
        <w:t>智慧消防</w:t>
      </w:r>
      <w:r>
        <w:rPr>
          <w:rFonts w:hint="eastAsia" w:ascii="Times New Roman" w:hAnsi="Times New Roman" w:cs="Times New Roman"/>
          <w:kern w:val="2"/>
        </w:rPr>
        <w:t>”</w:t>
      </w:r>
      <w:r>
        <w:rPr>
          <w:rFonts w:ascii="Times New Roman" w:hAnsi="Times New Roman" w:cs="Times New Roman"/>
          <w:kern w:val="2"/>
        </w:rPr>
        <w:t>建设</w:t>
      </w:r>
      <w:r>
        <w:rPr>
          <w:rFonts w:hint="eastAsia" w:ascii="Times New Roman" w:hAnsi="Times New Roman" w:cs="Times New Roman"/>
          <w:kern w:val="2"/>
        </w:rPr>
        <w:t>。对于新增消防设施，宜接入</w:t>
      </w:r>
      <w:r>
        <w:rPr>
          <w:rFonts w:ascii="Times New Roman" w:hAnsi="Times New Roman" w:cs="Times New Roman"/>
          <w:kern w:val="2"/>
        </w:rPr>
        <w:t>消防设施远程监控管理平台，对消防设施运行实现远程监控和管理。</w:t>
      </w:r>
    </w:p>
    <w:p>
      <w:pPr>
        <w:pStyle w:val="9"/>
        <w:shd w:val="clear" w:color="auto" w:fill="FFFFFF"/>
        <w:spacing w:before="0" w:beforeAutospacing="0" w:after="150" w:afterAutospacing="0" w:line="360" w:lineRule="auto"/>
        <w:rPr>
          <w:rFonts w:ascii="Times New Roman" w:hAnsi="Times New Roman" w:cs="Times New Roman"/>
          <w:kern w:val="2"/>
        </w:rPr>
      </w:pPr>
      <w:r>
        <w:rPr>
          <w:rFonts w:hint="eastAsia" w:ascii="Times New Roman" w:hAnsi="Times New Roman" w:cs="Times New Roman"/>
          <w:kern w:val="2"/>
        </w:rPr>
        <w:t xml:space="preserve">1.0.6 </w:t>
      </w:r>
      <w:r>
        <w:rPr>
          <w:rFonts w:hint="eastAsia"/>
        </w:rPr>
        <w:t>丽江古城区域消防规划、古</w:t>
      </w:r>
      <w:r>
        <w:rPr>
          <w:rFonts w:hint="eastAsia" w:ascii="Times New Roman" w:hAnsi="Times New Roman" w:cs="Times New Roman"/>
          <w:kern w:val="2"/>
        </w:rPr>
        <w:t>建筑</w:t>
      </w:r>
      <w:r>
        <w:rPr>
          <w:rFonts w:hint="eastAsia"/>
        </w:rPr>
        <w:t>修缮、改建、扩建和消防安全改造</w:t>
      </w:r>
      <w:r>
        <w:rPr>
          <w:rFonts w:hint="eastAsia" w:ascii="Times New Roman" w:hAnsi="Times New Roman" w:cs="Times New Roman"/>
          <w:kern w:val="2"/>
        </w:rPr>
        <w:t>，除应符合本规范的规定外，尚应符合国家现行消防技术标准的规定。</w:t>
      </w:r>
    </w:p>
    <w:p>
      <w:r>
        <w:br w:type="page"/>
      </w:r>
    </w:p>
    <w:p>
      <w:pPr>
        <w:pStyle w:val="2"/>
        <w:jc w:val="center"/>
        <w:rPr>
          <w:sz w:val="32"/>
          <w:szCs w:val="32"/>
        </w:rPr>
      </w:pPr>
      <w:bookmarkStart w:id="1" w:name="_Toc14999"/>
      <w:r>
        <w:rPr>
          <w:rFonts w:hint="eastAsia"/>
          <w:sz w:val="32"/>
          <w:szCs w:val="32"/>
        </w:rPr>
        <w:t>2. 规范性引用文件</w:t>
      </w:r>
      <w:bookmarkEnd w:id="1"/>
    </w:p>
    <w:p>
      <w:pPr>
        <w:pStyle w:val="9"/>
        <w:shd w:val="clear" w:color="auto" w:fill="FFFFFF"/>
        <w:spacing w:before="0" w:beforeAutospacing="0" w:after="150" w:afterAutospacing="0" w:line="360" w:lineRule="auto"/>
        <w:ind w:firstLine="420" w:firstLineChars="175"/>
        <w:rPr>
          <w:rFonts w:ascii="Times New Roman" w:hAnsi="Times New Roman" w:cs="Times New Roman"/>
          <w:kern w:val="2"/>
        </w:rPr>
      </w:pPr>
      <w:r>
        <w:rPr>
          <w:rFonts w:hint="eastAsia" w:ascii="Times New Roman" w:hAnsi="Times New Roman" w:cs="Times New Roman"/>
          <w:kern w:val="2"/>
        </w:rPr>
        <w:t>下列文件中的内容通过文中的规范性引用而构成本文件必不可少的条款。其中，注明日期的引用文件，仅该日期对应的版本适用于本文件；不注明日期的引用文件，其最新版本（包括所有的修改单）适用于本文件。</w:t>
      </w:r>
    </w:p>
    <w:p>
      <w:pPr>
        <w:pStyle w:val="9"/>
        <w:shd w:val="clear" w:color="auto" w:fill="FFFFFF"/>
        <w:spacing w:before="0" w:beforeAutospacing="0" w:after="0" w:afterAutospacing="0" w:line="360" w:lineRule="auto"/>
        <w:ind w:firstLine="420" w:firstLineChars="175"/>
        <w:rPr>
          <w:rFonts w:ascii="Times New Roman" w:hAnsi="Times New Roman" w:cs="Times New Roman"/>
          <w:kern w:val="2"/>
        </w:rPr>
      </w:pPr>
      <w:r>
        <w:rPr>
          <w:rFonts w:hint="eastAsia" w:ascii="Times New Roman" w:hAnsi="Times New Roman" w:cs="Times New Roman"/>
          <w:kern w:val="2"/>
        </w:rPr>
        <w:t>GB50039-2010 农村防火规范</w:t>
      </w:r>
    </w:p>
    <w:p>
      <w:pPr>
        <w:pStyle w:val="9"/>
        <w:shd w:val="clear" w:color="auto" w:fill="FFFFFF"/>
        <w:spacing w:before="0" w:beforeAutospacing="0" w:after="0" w:afterAutospacing="0" w:line="360" w:lineRule="auto"/>
        <w:ind w:firstLine="420" w:firstLineChars="175"/>
        <w:rPr>
          <w:rFonts w:ascii="Times New Roman" w:hAnsi="Times New Roman" w:cs="Times New Roman"/>
          <w:kern w:val="2"/>
        </w:rPr>
      </w:pPr>
      <w:r>
        <w:rPr>
          <w:rFonts w:hint="eastAsia" w:ascii="Times New Roman" w:hAnsi="Times New Roman" w:cs="Times New Roman"/>
          <w:kern w:val="2"/>
        </w:rPr>
        <w:t>GB8624-2012 建筑材料及制品燃烧性能分级 </w:t>
      </w:r>
    </w:p>
    <w:p>
      <w:pPr>
        <w:pStyle w:val="9"/>
        <w:shd w:val="clear" w:color="auto" w:fill="FFFFFF"/>
        <w:spacing w:before="0" w:beforeAutospacing="0" w:after="0" w:afterAutospacing="0" w:line="360" w:lineRule="auto"/>
        <w:ind w:firstLine="420" w:firstLineChars="175"/>
        <w:rPr>
          <w:rFonts w:ascii="Times New Roman" w:hAnsi="Times New Roman" w:cs="Times New Roman"/>
          <w:kern w:val="2"/>
        </w:rPr>
      </w:pPr>
      <w:r>
        <w:rPr>
          <w:rFonts w:hint="eastAsia" w:ascii="Times New Roman" w:hAnsi="Times New Roman" w:cs="Times New Roman"/>
          <w:kern w:val="2"/>
        </w:rPr>
        <w:t>GB50116-2013 火灾自动报警系统设计规范</w:t>
      </w:r>
    </w:p>
    <w:p>
      <w:pPr>
        <w:pStyle w:val="9"/>
        <w:shd w:val="clear" w:color="auto" w:fill="FFFFFF"/>
        <w:spacing w:before="0" w:beforeAutospacing="0" w:after="0" w:afterAutospacing="0" w:line="360" w:lineRule="auto"/>
        <w:ind w:firstLine="420" w:firstLineChars="175"/>
        <w:rPr>
          <w:rFonts w:ascii="Times New Roman" w:hAnsi="Times New Roman" w:cs="Times New Roman"/>
          <w:kern w:val="2"/>
        </w:rPr>
      </w:pPr>
      <w:r>
        <w:rPr>
          <w:rFonts w:hint="eastAsia" w:ascii="Times New Roman" w:hAnsi="Times New Roman" w:cs="Times New Roman"/>
          <w:kern w:val="2"/>
        </w:rPr>
        <w:t>GB50016-2014 建筑设计防火规范</w:t>
      </w:r>
    </w:p>
    <w:p>
      <w:pPr>
        <w:pStyle w:val="9"/>
        <w:shd w:val="clear" w:color="auto" w:fill="FFFFFF"/>
        <w:spacing w:before="0" w:beforeAutospacing="0" w:after="0" w:afterAutospacing="0" w:line="360" w:lineRule="auto"/>
        <w:ind w:firstLine="420" w:firstLineChars="175"/>
        <w:rPr>
          <w:rFonts w:ascii="Times New Roman" w:hAnsi="Times New Roman" w:cs="Times New Roman"/>
          <w:kern w:val="2"/>
        </w:rPr>
      </w:pPr>
      <w:r>
        <w:rPr>
          <w:rFonts w:hint="eastAsia" w:ascii="Times New Roman" w:hAnsi="Times New Roman" w:cs="Times New Roman"/>
          <w:kern w:val="2"/>
        </w:rPr>
        <w:t>GB50974-2014 消防给水及消火栓系统技术规范</w:t>
      </w:r>
    </w:p>
    <w:p>
      <w:pPr>
        <w:pStyle w:val="9"/>
        <w:shd w:val="clear" w:color="auto" w:fill="FFFFFF"/>
        <w:spacing w:before="0" w:beforeAutospacing="0" w:after="0" w:afterAutospacing="0" w:line="360" w:lineRule="auto"/>
        <w:ind w:firstLine="420" w:firstLineChars="175"/>
        <w:rPr>
          <w:rFonts w:ascii="Times New Roman" w:hAnsi="Times New Roman" w:cs="Times New Roman"/>
          <w:kern w:val="2"/>
        </w:rPr>
      </w:pPr>
      <w:r>
        <w:rPr>
          <w:rFonts w:hint="eastAsia" w:ascii="Times New Roman" w:hAnsi="Times New Roman" w:cs="Times New Roman"/>
          <w:kern w:val="2"/>
        </w:rPr>
        <w:t>GB50084-2017 自动喷水灭火系统设计规范</w:t>
      </w:r>
    </w:p>
    <w:p>
      <w:pPr>
        <w:pStyle w:val="9"/>
        <w:shd w:val="clear" w:color="auto" w:fill="FFFFFF"/>
        <w:spacing w:before="0" w:beforeAutospacing="0" w:after="0" w:afterAutospacing="0" w:line="360" w:lineRule="auto"/>
        <w:ind w:firstLine="420" w:firstLineChars="175"/>
        <w:rPr>
          <w:rFonts w:ascii="Times New Roman" w:hAnsi="Times New Roman" w:cs="Times New Roman"/>
          <w:kern w:val="2"/>
        </w:rPr>
      </w:pPr>
      <w:r>
        <w:rPr>
          <w:rFonts w:hint="eastAsia" w:ascii="Times New Roman" w:hAnsi="Times New Roman" w:cs="Times New Roman"/>
          <w:kern w:val="2"/>
        </w:rPr>
        <w:t>GB50222-2017 建筑内部装修设计防火规范</w:t>
      </w:r>
    </w:p>
    <w:p>
      <w:pPr>
        <w:pStyle w:val="9"/>
        <w:shd w:val="clear" w:color="auto" w:fill="FFFFFF"/>
        <w:spacing w:before="0" w:beforeAutospacing="0" w:after="0" w:afterAutospacing="0" w:line="360" w:lineRule="auto"/>
        <w:ind w:firstLine="420" w:firstLineChars="175"/>
        <w:rPr>
          <w:rFonts w:ascii="Times New Roman" w:hAnsi="Times New Roman" w:cs="Times New Roman"/>
          <w:kern w:val="2"/>
        </w:rPr>
      </w:pPr>
      <w:r>
        <w:rPr>
          <w:rFonts w:hint="eastAsia" w:ascii="Times New Roman" w:hAnsi="Times New Roman" w:cs="Times New Roman"/>
          <w:kern w:val="2"/>
        </w:rPr>
        <w:t>GB12441-2018饰面型防火涂料</w:t>
      </w:r>
    </w:p>
    <w:p>
      <w:pPr>
        <w:pStyle w:val="9"/>
        <w:shd w:val="clear" w:color="auto" w:fill="FFFFFF"/>
        <w:spacing w:before="0" w:beforeAutospacing="0" w:after="0" w:afterAutospacing="0" w:line="360" w:lineRule="auto"/>
        <w:ind w:firstLine="420" w:firstLineChars="175"/>
        <w:rPr>
          <w:rFonts w:ascii="Times New Roman" w:hAnsi="Times New Roman" w:cs="Times New Roman"/>
          <w:kern w:val="2"/>
        </w:rPr>
      </w:pPr>
      <w:r>
        <w:rPr>
          <w:rFonts w:hint="eastAsia" w:ascii="Times New Roman" w:hAnsi="Times New Roman" w:cs="Times New Roman"/>
          <w:kern w:val="2"/>
        </w:rPr>
        <w:t>GB51309-2018 消防应急照明和疏散指示系统技术标准</w:t>
      </w:r>
    </w:p>
    <w:p>
      <w:pPr>
        <w:pStyle w:val="9"/>
        <w:shd w:val="clear" w:color="auto" w:fill="FFFFFF"/>
        <w:spacing w:before="0" w:beforeAutospacing="0" w:after="0" w:afterAutospacing="0" w:line="360" w:lineRule="auto"/>
        <w:ind w:firstLine="420" w:firstLineChars="175"/>
        <w:rPr>
          <w:rFonts w:ascii="Times New Roman" w:hAnsi="Times New Roman" w:cs="Times New Roman"/>
          <w:kern w:val="2"/>
        </w:rPr>
      </w:pPr>
      <w:r>
        <w:rPr>
          <w:rFonts w:hint="eastAsia" w:ascii="Times New Roman" w:hAnsi="Times New Roman" w:cs="Times New Roman"/>
          <w:kern w:val="2"/>
        </w:rPr>
        <w:t>GB/T31540-2015消防安全工程指南</w:t>
      </w:r>
    </w:p>
    <w:p>
      <w:pPr>
        <w:pStyle w:val="9"/>
        <w:shd w:val="clear" w:color="auto" w:fill="FFFFFF"/>
        <w:spacing w:before="0" w:beforeAutospacing="0" w:after="0" w:afterAutospacing="0" w:line="360" w:lineRule="auto"/>
        <w:ind w:firstLine="420" w:firstLineChars="175"/>
        <w:rPr>
          <w:rFonts w:ascii="Times New Roman" w:hAnsi="Times New Roman" w:cs="Times New Roman"/>
          <w:kern w:val="2"/>
        </w:rPr>
      </w:pPr>
      <w:r>
        <w:rPr>
          <w:rFonts w:hint="eastAsia" w:ascii="Times New Roman" w:hAnsi="Times New Roman" w:cs="Times New Roman"/>
          <w:kern w:val="2"/>
        </w:rPr>
        <w:t>GB/T31593-2015消防安全工程</w:t>
      </w:r>
    </w:p>
    <w:p>
      <w:pPr>
        <w:pStyle w:val="9"/>
        <w:shd w:val="clear" w:color="auto" w:fill="FFFFFF"/>
        <w:spacing w:before="0" w:beforeAutospacing="0" w:after="0" w:afterAutospacing="0" w:line="360" w:lineRule="auto"/>
        <w:ind w:firstLine="420" w:firstLineChars="175"/>
        <w:rPr>
          <w:rFonts w:ascii="Times New Roman" w:hAnsi="Times New Roman" w:cs="Times New Roman"/>
          <w:kern w:val="2"/>
        </w:rPr>
      </w:pPr>
      <w:r>
        <w:rPr>
          <w:rFonts w:hint="eastAsia" w:ascii="Times New Roman" w:hAnsi="Times New Roman" w:cs="Times New Roman"/>
          <w:kern w:val="2"/>
        </w:rPr>
        <w:t>GB/T38315-2019 社会单位灭火和应急疏散预案编制及实施导则</w:t>
      </w:r>
    </w:p>
    <w:p>
      <w:pPr>
        <w:pStyle w:val="9"/>
        <w:shd w:val="clear" w:color="auto" w:fill="FFFFFF"/>
        <w:spacing w:before="0" w:beforeAutospacing="0" w:after="0" w:afterAutospacing="0" w:line="360" w:lineRule="auto"/>
        <w:ind w:firstLine="420" w:firstLineChars="175"/>
        <w:rPr>
          <w:rFonts w:ascii="Times New Roman" w:hAnsi="Times New Roman" w:cs="Times New Roman"/>
          <w:kern w:val="2"/>
        </w:rPr>
      </w:pPr>
      <w:r>
        <w:rPr>
          <w:rFonts w:hint="eastAsia" w:ascii="Times New Roman" w:hAnsi="Times New Roman" w:cs="Times New Roman"/>
          <w:kern w:val="2"/>
        </w:rPr>
        <w:t>GB/T40248-2021 人员密集场所消防安全管理</w:t>
      </w:r>
    </w:p>
    <w:p>
      <w:pPr>
        <w:pStyle w:val="9"/>
        <w:shd w:val="clear" w:color="auto" w:fill="FFFFFF"/>
        <w:spacing w:before="0" w:beforeAutospacing="0" w:after="0" w:afterAutospacing="0" w:line="360" w:lineRule="auto"/>
        <w:ind w:firstLine="420" w:firstLineChars="175"/>
        <w:rPr>
          <w:rFonts w:ascii="Times New Roman" w:hAnsi="Times New Roman" w:cs="Times New Roman"/>
          <w:kern w:val="2"/>
        </w:rPr>
      </w:pPr>
      <w:r>
        <w:rPr>
          <w:rFonts w:hint="eastAsia" w:ascii="Times New Roman" w:hAnsi="Times New Roman" w:cs="Times New Roman"/>
          <w:kern w:val="2"/>
        </w:rPr>
        <w:t xml:space="preserve">GB/T50811-2012燃气系统运行安全评价标准 </w:t>
      </w:r>
    </w:p>
    <w:p>
      <w:pPr>
        <w:pStyle w:val="9"/>
        <w:shd w:val="clear" w:color="auto" w:fill="FFFFFF"/>
        <w:spacing w:before="0" w:beforeAutospacing="0" w:after="0" w:afterAutospacing="0" w:line="360" w:lineRule="auto"/>
        <w:ind w:firstLine="420" w:firstLineChars="175"/>
        <w:rPr>
          <w:rFonts w:ascii="Times New Roman" w:hAnsi="Times New Roman" w:cs="Times New Roman"/>
          <w:kern w:val="2"/>
        </w:rPr>
      </w:pPr>
      <w:r>
        <w:rPr>
          <w:rFonts w:hint="eastAsia" w:ascii="Times New Roman" w:hAnsi="Times New Roman" w:cs="Times New Roman"/>
          <w:kern w:val="2"/>
        </w:rPr>
        <w:t>GB/T5907.1-2014 消防词汇 第1部分：通用术语</w:t>
      </w:r>
    </w:p>
    <w:p>
      <w:pPr>
        <w:pStyle w:val="9"/>
        <w:shd w:val="clear" w:color="auto" w:fill="FFFFFF"/>
        <w:spacing w:before="0" w:beforeAutospacing="0" w:after="0" w:afterAutospacing="0" w:line="360" w:lineRule="auto"/>
        <w:ind w:firstLine="420" w:firstLineChars="175"/>
        <w:rPr>
          <w:rFonts w:ascii="Times New Roman" w:hAnsi="Times New Roman" w:cs="Times New Roman"/>
          <w:kern w:val="2"/>
        </w:rPr>
      </w:pPr>
      <w:r>
        <w:rPr>
          <w:rFonts w:hint="eastAsia" w:ascii="Times New Roman" w:hAnsi="Times New Roman" w:cs="Times New Roman"/>
          <w:kern w:val="2"/>
        </w:rPr>
        <w:t xml:space="preserve">CECS219-2007 简易自动喷水灭火系统应用技术规程 </w:t>
      </w:r>
    </w:p>
    <w:p>
      <w:pPr>
        <w:pStyle w:val="9"/>
        <w:shd w:val="clear" w:color="auto" w:fill="FFFFFF"/>
        <w:spacing w:before="0" w:beforeAutospacing="0" w:after="0" w:afterAutospacing="0" w:line="360" w:lineRule="auto"/>
        <w:ind w:firstLine="420" w:firstLineChars="175"/>
        <w:rPr>
          <w:rFonts w:ascii="Times New Roman" w:hAnsi="Times New Roman" w:cs="Times New Roman"/>
          <w:kern w:val="2"/>
        </w:rPr>
      </w:pPr>
      <w:r>
        <w:rPr>
          <w:rFonts w:hint="eastAsia" w:ascii="Times New Roman" w:hAnsi="Times New Roman" w:cs="Times New Roman"/>
          <w:kern w:val="2"/>
        </w:rPr>
        <w:t>GA703-2007住宿与生产储存经营合用场所消防安全技术要求</w:t>
      </w:r>
    </w:p>
    <w:p>
      <w:pPr>
        <w:pStyle w:val="9"/>
        <w:shd w:val="clear" w:color="auto" w:fill="FFFFFF"/>
        <w:spacing w:before="0" w:beforeAutospacing="0" w:after="0" w:afterAutospacing="0" w:line="360" w:lineRule="auto"/>
        <w:ind w:firstLine="420" w:firstLineChars="175"/>
        <w:rPr>
          <w:rFonts w:ascii="Times New Roman" w:hAnsi="Times New Roman" w:cs="Times New Roman"/>
          <w:kern w:val="2"/>
        </w:rPr>
      </w:pPr>
      <w:r>
        <w:rPr>
          <w:rFonts w:hint="eastAsia" w:ascii="Times New Roman" w:hAnsi="Times New Roman" w:cs="Times New Roman"/>
          <w:kern w:val="2"/>
        </w:rPr>
        <w:t>建标152-2017 城市消防站建设标准</w:t>
      </w:r>
    </w:p>
    <w:p>
      <w:pPr>
        <w:pStyle w:val="9"/>
        <w:shd w:val="clear" w:color="auto" w:fill="FFFFFF"/>
        <w:spacing w:before="0" w:beforeAutospacing="0" w:after="0" w:afterAutospacing="0" w:line="360" w:lineRule="auto"/>
        <w:ind w:firstLine="420" w:firstLineChars="175"/>
        <w:rPr>
          <w:rFonts w:ascii="Times New Roman" w:hAnsi="Times New Roman" w:cs="Times New Roman"/>
          <w:kern w:val="2"/>
        </w:rPr>
      </w:pPr>
      <w:r>
        <w:rPr>
          <w:rFonts w:hint="eastAsia" w:ascii="Times New Roman" w:hAnsi="Times New Roman" w:cs="Times New Roman"/>
          <w:kern w:val="2"/>
        </w:rPr>
        <w:t>云南省丽江古城保护条例</w:t>
      </w:r>
    </w:p>
    <w:p>
      <w:pPr>
        <w:pStyle w:val="9"/>
        <w:shd w:val="clear" w:color="auto" w:fill="FFFFFF"/>
        <w:spacing w:before="0" w:beforeAutospacing="0" w:after="0" w:afterAutospacing="0" w:line="360" w:lineRule="auto"/>
        <w:ind w:firstLine="420" w:firstLineChars="175"/>
        <w:rPr>
          <w:rFonts w:ascii="Times New Roman" w:hAnsi="Times New Roman" w:cs="Times New Roman"/>
          <w:kern w:val="2"/>
        </w:rPr>
      </w:pPr>
      <w:r>
        <w:rPr>
          <w:rFonts w:hint="eastAsia" w:ascii="Times New Roman" w:hAnsi="Times New Roman" w:cs="Times New Roman"/>
          <w:kern w:val="2"/>
        </w:rPr>
        <w:t>古城镇和村寨火灾防控技术指导意见</w:t>
      </w:r>
    </w:p>
    <w:p>
      <w:pPr>
        <w:rPr>
          <w:sz w:val="24"/>
        </w:rPr>
      </w:pPr>
      <w:r>
        <w:rPr>
          <w:rFonts w:hint="eastAsia"/>
          <w:sz w:val="24"/>
        </w:rPr>
        <w:br w:type="page"/>
      </w:r>
    </w:p>
    <w:p>
      <w:pPr>
        <w:pStyle w:val="2"/>
        <w:jc w:val="center"/>
        <w:rPr>
          <w:sz w:val="32"/>
          <w:szCs w:val="32"/>
        </w:rPr>
      </w:pPr>
      <w:bookmarkStart w:id="2" w:name="_Toc31222"/>
      <w:r>
        <w:rPr>
          <w:rFonts w:hint="eastAsia"/>
          <w:sz w:val="32"/>
          <w:szCs w:val="32"/>
        </w:rPr>
        <w:t>3.术语</w:t>
      </w:r>
      <w:bookmarkEnd w:id="2"/>
    </w:p>
    <w:p>
      <w:pPr>
        <w:rPr>
          <w:b/>
          <w:bCs/>
          <w:sz w:val="24"/>
        </w:rPr>
      </w:pPr>
      <w:r>
        <w:rPr>
          <w:b/>
          <w:bCs/>
          <w:sz w:val="24"/>
        </w:rPr>
        <w:t xml:space="preserve">3.0.1丽江古城  Lijiang </w:t>
      </w:r>
      <w:r>
        <w:rPr>
          <w:rFonts w:hint="eastAsia"/>
          <w:b/>
          <w:bCs/>
          <w:sz w:val="24"/>
        </w:rPr>
        <w:t>A</w:t>
      </w:r>
      <w:r>
        <w:rPr>
          <w:b/>
          <w:bCs/>
          <w:sz w:val="24"/>
        </w:rPr>
        <w:t xml:space="preserve">ncient </w:t>
      </w:r>
      <w:r>
        <w:rPr>
          <w:rFonts w:hint="eastAsia"/>
          <w:b/>
          <w:bCs/>
          <w:sz w:val="24"/>
        </w:rPr>
        <w:t>T</w:t>
      </w:r>
      <w:r>
        <w:rPr>
          <w:b/>
          <w:bCs/>
          <w:sz w:val="24"/>
        </w:rPr>
        <w:t>own</w:t>
      </w:r>
    </w:p>
    <w:p>
      <w:pPr>
        <w:pStyle w:val="9"/>
        <w:shd w:val="clear" w:color="auto" w:fill="FFFFFF"/>
        <w:spacing w:before="0" w:beforeAutospacing="0" w:after="150" w:afterAutospacing="0" w:line="360" w:lineRule="auto"/>
        <w:ind w:firstLine="410" w:firstLineChars="171"/>
        <w:rPr>
          <w:rFonts w:ascii="Times New Roman" w:hAnsi="Times New Roman" w:cs="Times New Roman"/>
          <w:kern w:val="2"/>
        </w:rPr>
      </w:pPr>
      <w:r>
        <w:rPr>
          <w:rFonts w:ascii="Times New Roman" w:hAnsi="Times New Roman" w:cs="Times New Roman"/>
          <w:kern w:val="2"/>
        </w:rPr>
        <w:t>指位于丽江市古城区、玉龙纳西族自治县行政区域内，列入联合国教科文组织《世界遗产名录》的大研古城(含黑龙潭)、白沙民居建筑群、束河民居建筑群三片区域。</w:t>
      </w:r>
    </w:p>
    <w:p>
      <w:pPr>
        <w:rPr>
          <w:b/>
          <w:bCs/>
          <w:sz w:val="24"/>
        </w:rPr>
      </w:pPr>
      <w:r>
        <w:rPr>
          <w:b/>
          <w:bCs/>
          <w:sz w:val="24"/>
        </w:rPr>
        <w:t>3.0.2 文物建筑 historic and cultural relic</w:t>
      </w:r>
    </w:p>
    <w:p>
      <w:pPr>
        <w:pStyle w:val="9"/>
        <w:shd w:val="clear" w:color="auto" w:fill="FFFFFF"/>
        <w:spacing w:before="0" w:beforeAutospacing="0" w:after="150" w:afterAutospacing="0" w:line="360" w:lineRule="auto"/>
        <w:ind w:firstLine="410" w:firstLineChars="171"/>
        <w:rPr>
          <w:rFonts w:ascii="Times New Roman" w:hAnsi="Times New Roman" w:cs="Times New Roman"/>
          <w:kern w:val="2"/>
        </w:rPr>
      </w:pPr>
      <w:r>
        <w:rPr>
          <w:rFonts w:ascii="Times New Roman" w:hAnsi="Times New Roman" w:cs="Times New Roman"/>
          <w:kern w:val="2"/>
        </w:rPr>
        <w:t>被公布或登记为不可移动文物，具有历史价值、科学价值和艺术价值的古建筑、纪念建筑及优秀近现代建筑。</w:t>
      </w:r>
    </w:p>
    <w:p>
      <w:pPr>
        <w:rPr>
          <w:b/>
          <w:bCs/>
          <w:sz w:val="24"/>
        </w:rPr>
      </w:pPr>
      <w:r>
        <w:rPr>
          <w:b/>
          <w:bCs/>
          <w:sz w:val="24"/>
        </w:rPr>
        <w:t>3.0.3消防安全评估  fire safety assessment</w:t>
      </w:r>
    </w:p>
    <w:p>
      <w:pPr>
        <w:pStyle w:val="9"/>
        <w:shd w:val="clear" w:color="auto" w:fill="FFFFFF"/>
        <w:spacing w:before="0" w:beforeAutospacing="0" w:after="150" w:afterAutospacing="0" w:line="360" w:lineRule="auto"/>
        <w:ind w:firstLine="410" w:firstLineChars="171"/>
        <w:rPr>
          <w:rFonts w:ascii="Times New Roman" w:hAnsi="Times New Roman" w:cs="Times New Roman"/>
          <w:kern w:val="2"/>
        </w:rPr>
      </w:pPr>
      <w:r>
        <w:rPr>
          <w:rFonts w:ascii="Times New Roman" w:hAnsi="Times New Roman" w:cs="Times New Roman"/>
          <w:kern w:val="2"/>
        </w:rPr>
        <w:t>通过分析影响评估对象消防安全的相关因素，采用适当的方法评估分析其消防安全状况，科学合理地确定火灾风险等级，查找消防安全问题，提出针对性的对策措施及建议。</w:t>
      </w:r>
    </w:p>
    <w:p>
      <w:pPr>
        <w:rPr>
          <w:b/>
          <w:bCs/>
          <w:sz w:val="24"/>
        </w:rPr>
      </w:pPr>
      <w:r>
        <w:rPr>
          <w:b/>
          <w:bCs/>
          <w:sz w:val="24"/>
        </w:rPr>
        <w:t>3.0.</w:t>
      </w:r>
      <w:r>
        <w:rPr>
          <w:rFonts w:hint="eastAsia"/>
          <w:b/>
          <w:bCs/>
          <w:sz w:val="24"/>
        </w:rPr>
        <w:t>4</w:t>
      </w:r>
      <w:r>
        <w:rPr>
          <w:b/>
          <w:bCs/>
          <w:sz w:val="24"/>
        </w:rPr>
        <w:t xml:space="preserve"> 分散充电设施 dispersal charging infrastructure</w:t>
      </w:r>
    </w:p>
    <w:p>
      <w:pPr>
        <w:pStyle w:val="9"/>
        <w:shd w:val="clear" w:color="auto" w:fill="FFFFFF"/>
        <w:spacing w:before="0" w:beforeAutospacing="0" w:after="150" w:afterAutospacing="0" w:line="360" w:lineRule="auto"/>
        <w:ind w:firstLine="410" w:firstLineChars="171"/>
        <w:rPr>
          <w:rFonts w:ascii="Times New Roman" w:hAnsi="Times New Roman" w:cs="Times New Roman"/>
          <w:kern w:val="2"/>
        </w:rPr>
      </w:pPr>
      <w:r>
        <w:rPr>
          <w:rFonts w:ascii="Times New Roman" w:hAnsi="Times New Roman" w:cs="Times New Roman"/>
          <w:kern w:val="2"/>
        </w:rPr>
        <w:t>结合用户居住地停车位、单位停车场、公共建筑物停车场、社会公共停车场、路内临时停车位等配建的为电动车提供电能的设施，包括充电设备、供电系统、配套设施等。</w:t>
      </w:r>
    </w:p>
    <w:p>
      <w:pPr>
        <w:rPr>
          <w:b/>
          <w:bCs/>
          <w:sz w:val="24"/>
        </w:rPr>
      </w:pPr>
      <w:r>
        <w:rPr>
          <w:b/>
          <w:bCs/>
          <w:sz w:val="24"/>
        </w:rPr>
        <w:t>3.0.</w:t>
      </w:r>
      <w:r>
        <w:rPr>
          <w:rFonts w:hint="eastAsia"/>
          <w:b/>
          <w:bCs/>
          <w:sz w:val="24"/>
        </w:rPr>
        <w:t>5</w:t>
      </w:r>
      <w:r>
        <w:rPr>
          <w:b/>
          <w:bCs/>
          <w:sz w:val="24"/>
        </w:rPr>
        <w:t>消防分区 fire compartment</w:t>
      </w:r>
    </w:p>
    <w:p>
      <w:pPr>
        <w:spacing w:line="360" w:lineRule="auto"/>
        <w:ind w:firstLine="410" w:firstLineChars="171"/>
        <w:rPr>
          <w:sz w:val="24"/>
        </w:rPr>
      </w:pPr>
      <w:r>
        <w:rPr>
          <w:sz w:val="24"/>
        </w:rPr>
        <w:t>为避免火灾蔓延，对集中连片的古城建筑群，采用适宜措施分隔的若干独立防火区域。</w:t>
      </w:r>
    </w:p>
    <w:p>
      <w:pPr>
        <w:rPr>
          <w:b/>
          <w:bCs/>
          <w:sz w:val="24"/>
        </w:rPr>
      </w:pPr>
      <w:r>
        <w:rPr>
          <w:b/>
          <w:bCs/>
          <w:sz w:val="24"/>
        </w:rPr>
        <w:t>3.0.</w:t>
      </w:r>
      <w:r>
        <w:rPr>
          <w:rFonts w:hint="eastAsia"/>
          <w:b/>
          <w:bCs/>
          <w:sz w:val="24"/>
        </w:rPr>
        <w:t>6</w:t>
      </w:r>
      <w:r>
        <w:rPr>
          <w:b/>
          <w:bCs/>
          <w:sz w:val="24"/>
        </w:rPr>
        <w:t xml:space="preserve"> 防火分隔边界 fireproof boundary</w:t>
      </w:r>
    </w:p>
    <w:p>
      <w:pPr>
        <w:spacing w:line="360" w:lineRule="auto"/>
        <w:ind w:firstLine="480" w:firstLineChars="200"/>
        <w:rPr>
          <w:sz w:val="24"/>
        </w:rPr>
      </w:pPr>
      <w:r>
        <w:rPr>
          <w:sz w:val="24"/>
        </w:rPr>
        <w:t>建筑周边的防火墙、道路、水系、广场、绿地等具有防止火灾向周边区域蔓延的设施。</w:t>
      </w:r>
    </w:p>
    <w:p>
      <w:pPr>
        <w:rPr>
          <w:b/>
          <w:bCs/>
          <w:sz w:val="24"/>
        </w:rPr>
      </w:pPr>
      <w:r>
        <w:rPr>
          <w:b/>
          <w:bCs/>
          <w:sz w:val="24"/>
        </w:rPr>
        <w:t>3.0.</w:t>
      </w:r>
      <w:r>
        <w:rPr>
          <w:rFonts w:hint="eastAsia"/>
          <w:b/>
          <w:bCs/>
          <w:sz w:val="24"/>
        </w:rPr>
        <w:t>7</w:t>
      </w:r>
      <w:r>
        <w:rPr>
          <w:b/>
          <w:bCs/>
          <w:sz w:val="24"/>
        </w:rPr>
        <w:t>消防道路 fire passage</w:t>
      </w:r>
    </w:p>
    <w:p>
      <w:pPr>
        <w:pStyle w:val="9"/>
        <w:shd w:val="clear" w:color="auto" w:fill="FFFFFF"/>
        <w:spacing w:before="0" w:beforeAutospacing="0" w:after="150" w:afterAutospacing="0" w:line="360" w:lineRule="auto"/>
        <w:ind w:firstLine="410" w:firstLineChars="171"/>
        <w:rPr>
          <w:rFonts w:ascii="Times New Roman" w:hAnsi="Times New Roman" w:cs="Times New Roman"/>
          <w:kern w:val="2"/>
        </w:rPr>
      </w:pPr>
      <w:r>
        <w:rPr>
          <w:rFonts w:ascii="Times New Roman" w:hAnsi="Times New Roman" w:cs="Times New Roman"/>
          <w:kern w:val="2"/>
        </w:rPr>
        <w:t>根据古城建筑防火需要和实际情况确定的，供一般消防车、小型消防车、消防摩托车以及手抬机动消防泵通行和人员疏散的道路。</w:t>
      </w:r>
    </w:p>
    <w:p>
      <w:pPr>
        <w:rPr>
          <w:b/>
          <w:bCs/>
          <w:sz w:val="24"/>
        </w:rPr>
      </w:pPr>
      <w:r>
        <w:rPr>
          <w:b/>
          <w:bCs/>
          <w:sz w:val="24"/>
        </w:rPr>
        <w:t>3.0.</w:t>
      </w:r>
      <w:r>
        <w:rPr>
          <w:rFonts w:hint="eastAsia"/>
          <w:b/>
          <w:bCs/>
          <w:sz w:val="24"/>
        </w:rPr>
        <w:t>8</w:t>
      </w:r>
      <w:r>
        <w:rPr>
          <w:b/>
          <w:bCs/>
          <w:sz w:val="24"/>
        </w:rPr>
        <w:t xml:space="preserve"> 微型消防站mini fire station</w:t>
      </w:r>
    </w:p>
    <w:p>
      <w:pPr>
        <w:pStyle w:val="9"/>
        <w:shd w:val="clear" w:color="auto" w:fill="FFFFFF"/>
        <w:spacing w:before="0" w:beforeAutospacing="0" w:after="150" w:afterAutospacing="0" w:line="360" w:lineRule="auto"/>
        <w:ind w:firstLine="410" w:firstLineChars="171"/>
        <w:rPr>
          <w:rFonts w:ascii="Times New Roman" w:hAnsi="Times New Roman" w:cs="Times New Roman"/>
          <w:kern w:val="2"/>
        </w:rPr>
      </w:pPr>
      <w:r>
        <w:rPr>
          <w:rFonts w:ascii="Times New Roman" w:hAnsi="Times New Roman" w:cs="Times New Roman"/>
          <w:kern w:val="2"/>
        </w:rPr>
        <w:t>是指依托单位志愿消防队伍，配备必要的消防器材和装备，以救早、灭小和</w:t>
      </w:r>
      <w:r>
        <w:rPr>
          <w:rFonts w:hint="eastAsia" w:ascii="Times New Roman" w:hAnsi="Times New Roman" w:cs="Times New Roman"/>
          <w:kern w:val="2"/>
        </w:rPr>
        <w:t>“</w:t>
      </w:r>
      <w:r>
        <w:rPr>
          <w:rFonts w:ascii="Times New Roman" w:hAnsi="Times New Roman" w:cs="Times New Roman"/>
          <w:kern w:val="2"/>
        </w:rPr>
        <w:t>三分钟到场</w:t>
      </w:r>
      <w:r>
        <w:rPr>
          <w:rFonts w:hint="eastAsia" w:ascii="Times New Roman" w:hAnsi="Times New Roman" w:cs="Times New Roman"/>
          <w:kern w:val="2"/>
        </w:rPr>
        <w:t>”</w:t>
      </w:r>
      <w:r>
        <w:rPr>
          <w:rFonts w:ascii="Times New Roman" w:hAnsi="Times New Roman" w:cs="Times New Roman"/>
          <w:kern w:val="2"/>
        </w:rPr>
        <w:t>扑救初起火灾为目标的消防组织单元。</w:t>
      </w:r>
    </w:p>
    <w:p>
      <w:pPr>
        <w:rPr>
          <w:b/>
          <w:bCs/>
          <w:sz w:val="24"/>
        </w:rPr>
      </w:pPr>
      <w:r>
        <w:rPr>
          <w:b/>
          <w:bCs/>
          <w:sz w:val="24"/>
        </w:rPr>
        <w:t>3.0.</w:t>
      </w:r>
      <w:r>
        <w:rPr>
          <w:rFonts w:hint="eastAsia"/>
          <w:b/>
          <w:bCs/>
          <w:sz w:val="24"/>
        </w:rPr>
        <w:t>9</w:t>
      </w:r>
      <w:r>
        <w:rPr>
          <w:b/>
          <w:bCs/>
          <w:sz w:val="24"/>
        </w:rPr>
        <w:t xml:space="preserve"> 多合一场所 mixed-use buildings incorporating residential use</w:t>
      </w:r>
    </w:p>
    <w:p>
      <w:pPr>
        <w:pStyle w:val="9"/>
        <w:shd w:val="clear" w:color="auto" w:fill="FFFFFF"/>
        <w:spacing w:before="0" w:beforeAutospacing="0" w:after="150" w:afterAutospacing="0" w:line="360" w:lineRule="auto"/>
        <w:ind w:firstLine="410" w:firstLineChars="171"/>
        <w:rPr>
          <w:rFonts w:ascii="Times New Roman" w:hAnsi="Times New Roman" w:cs="Times New Roman"/>
          <w:kern w:val="2"/>
        </w:rPr>
      </w:pPr>
      <w:r>
        <w:rPr>
          <w:rFonts w:ascii="Times New Roman" w:hAnsi="Times New Roman" w:cs="Times New Roman"/>
          <w:kern w:val="2"/>
        </w:rPr>
        <w:t>住宿与生产、储存、经营等一种或几种用途混合设置在同一连通空间内的场所，俗称</w:t>
      </w:r>
      <w:r>
        <w:rPr>
          <w:rFonts w:hint="eastAsia" w:ascii="Times New Roman" w:hAnsi="Times New Roman" w:cs="Times New Roman"/>
          <w:kern w:val="2"/>
        </w:rPr>
        <w:t>“</w:t>
      </w:r>
      <w:r>
        <w:rPr>
          <w:rFonts w:ascii="Times New Roman" w:hAnsi="Times New Roman" w:cs="Times New Roman"/>
          <w:kern w:val="2"/>
        </w:rPr>
        <w:t>多合一</w:t>
      </w:r>
      <w:r>
        <w:rPr>
          <w:rFonts w:hint="eastAsia" w:ascii="Times New Roman" w:hAnsi="Times New Roman" w:cs="Times New Roman"/>
          <w:kern w:val="2"/>
        </w:rPr>
        <w:t>”</w:t>
      </w:r>
      <w:r>
        <w:rPr>
          <w:rFonts w:ascii="Times New Roman" w:hAnsi="Times New Roman" w:cs="Times New Roman"/>
          <w:kern w:val="2"/>
        </w:rPr>
        <w:t>场所。</w:t>
      </w:r>
    </w:p>
    <w:p>
      <w:pPr>
        <w:rPr>
          <w:b/>
          <w:bCs/>
          <w:sz w:val="24"/>
        </w:rPr>
      </w:pPr>
      <w:r>
        <w:rPr>
          <w:b/>
          <w:bCs/>
          <w:sz w:val="24"/>
        </w:rPr>
        <w:t>3.0.1</w:t>
      </w:r>
      <w:r>
        <w:rPr>
          <w:rFonts w:hint="eastAsia"/>
          <w:b/>
          <w:bCs/>
          <w:sz w:val="24"/>
        </w:rPr>
        <w:t>0</w:t>
      </w:r>
      <w:r>
        <w:rPr>
          <w:b/>
          <w:bCs/>
          <w:sz w:val="24"/>
        </w:rPr>
        <w:t>热辐射  thermal radiation</w:t>
      </w:r>
    </w:p>
    <w:p>
      <w:pPr>
        <w:spacing w:line="360" w:lineRule="auto"/>
        <w:ind w:firstLine="410" w:firstLineChars="171"/>
        <w:rPr>
          <w:sz w:val="24"/>
        </w:rPr>
      </w:pPr>
      <w:r>
        <w:rPr>
          <w:sz w:val="24"/>
        </w:rPr>
        <w:t>以电磁波形式传递的热能。</w:t>
      </w:r>
    </w:p>
    <w:p>
      <w:pPr>
        <w:rPr>
          <w:b/>
          <w:bCs/>
          <w:sz w:val="24"/>
        </w:rPr>
      </w:pPr>
      <w:r>
        <w:rPr>
          <w:b/>
          <w:bCs/>
          <w:sz w:val="24"/>
        </w:rPr>
        <w:t>3.0.1</w:t>
      </w:r>
      <w:r>
        <w:rPr>
          <w:rFonts w:hint="eastAsia"/>
          <w:b/>
          <w:bCs/>
          <w:sz w:val="24"/>
        </w:rPr>
        <w:t>1</w:t>
      </w:r>
      <w:r>
        <w:rPr>
          <w:b/>
          <w:bCs/>
          <w:sz w:val="24"/>
        </w:rPr>
        <w:t>阻燃  flame retardance</w:t>
      </w:r>
    </w:p>
    <w:p>
      <w:pPr>
        <w:spacing w:line="360" w:lineRule="auto"/>
        <w:ind w:firstLine="410" w:firstLineChars="171"/>
        <w:rPr>
          <w:sz w:val="24"/>
        </w:rPr>
      </w:pPr>
      <w:r>
        <w:rPr>
          <w:sz w:val="24"/>
        </w:rPr>
        <w:t>材料延迟被引燃或材料抑制、减缓或终止火焰传播的特性。</w:t>
      </w:r>
    </w:p>
    <w:p>
      <w:pPr>
        <w:rPr>
          <w:sz w:val="24"/>
        </w:rPr>
      </w:pPr>
      <w:r>
        <w:rPr>
          <w:rFonts w:hint="eastAsia"/>
          <w:sz w:val="24"/>
        </w:rPr>
        <w:br w:type="page"/>
      </w:r>
    </w:p>
    <w:p>
      <w:pPr>
        <w:pStyle w:val="2"/>
        <w:jc w:val="center"/>
        <w:rPr>
          <w:sz w:val="32"/>
          <w:szCs w:val="32"/>
        </w:rPr>
      </w:pPr>
      <w:bookmarkStart w:id="3" w:name="_Toc28510"/>
      <w:r>
        <w:rPr>
          <w:rFonts w:hint="eastAsia"/>
          <w:sz w:val="32"/>
          <w:szCs w:val="32"/>
        </w:rPr>
        <w:t>4.现场勘查与消防安全评估</w:t>
      </w:r>
      <w:bookmarkEnd w:id="3"/>
    </w:p>
    <w:p>
      <w:pPr>
        <w:pStyle w:val="9"/>
        <w:shd w:val="clear" w:color="auto" w:fill="FFFFFF"/>
        <w:spacing w:before="0" w:beforeAutospacing="0" w:after="150" w:afterAutospacing="0" w:line="360" w:lineRule="auto"/>
        <w:rPr>
          <w:rFonts w:ascii="Times New Roman" w:hAnsi="Times New Roman" w:cs="Times New Roman"/>
          <w:kern w:val="2"/>
        </w:rPr>
      </w:pPr>
      <w:r>
        <w:rPr>
          <w:rFonts w:hint="eastAsia" w:ascii="Times New Roman" w:hAnsi="Times New Roman" w:cs="Times New Roman"/>
          <w:kern w:val="2"/>
        </w:rPr>
        <w:t>4.0.1丽江古城在进行区域消防规划、古建筑修缮、改建、扩建和消防安全改造前，应进行现场勘查和资料收集，现场勘查和资料收集的范围、内容应与工程项目或消防安全评估的对象相适应。</w:t>
      </w:r>
    </w:p>
    <w:p>
      <w:pPr>
        <w:spacing w:line="360" w:lineRule="auto"/>
        <w:rPr>
          <w:sz w:val="24"/>
        </w:rPr>
      </w:pPr>
      <w:r>
        <w:rPr>
          <w:rFonts w:hint="eastAsia"/>
          <w:sz w:val="24"/>
        </w:rPr>
        <w:t>4.0.2现场勘察应包含建筑使用功能、建筑防火状况、消防设施现状、消防救援条件、火灾危险源、消防安全管理、消防安全教育、建筑历史属性等相关情况，并应符合附录A 的规定。</w:t>
      </w:r>
    </w:p>
    <w:p>
      <w:pPr>
        <w:spacing w:line="360" w:lineRule="auto"/>
        <w:rPr>
          <w:sz w:val="24"/>
        </w:rPr>
      </w:pPr>
      <w:r>
        <w:rPr>
          <w:rFonts w:hint="eastAsia"/>
          <w:sz w:val="24"/>
        </w:rPr>
        <w:t>4.0.3 资料收集应包含图纸及说明书、自然地理、社会经济、火灾历史数据、消防管理、利用情况等相关资料，应符合附录B 的规定。</w:t>
      </w:r>
    </w:p>
    <w:p>
      <w:pPr>
        <w:spacing w:line="360" w:lineRule="auto"/>
        <w:rPr>
          <w:sz w:val="24"/>
        </w:rPr>
      </w:pPr>
      <w:r>
        <w:rPr>
          <w:rFonts w:hint="eastAsia"/>
          <w:sz w:val="24"/>
        </w:rPr>
        <w:t>4.0.4 在现场勘查和资料收集的基础上，应针对工程对象的不同，开展相应的消防安全评估，并提交评估报告。针对古城建筑修缮、改建、扩建和消防安全改造的消防安全评估，应委托有相应资质的第三方开展，其评估内容至少应包括：</w:t>
      </w:r>
    </w:p>
    <w:p>
      <w:pPr>
        <w:spacing w:line="360" w:lineRule="auto"/>
        <w:ind w:firstLine="420" w:firstLineChars="175"/>
        <w:rPr>
          <w:sz w:val="24"/>
        </w:rPr>
      </w:pPr>
      <w:r>
        <w:rPr>
          <w:rFonts w:hint="eastAsia"/>
          <w:sz w:val="24"/>
        </w:rPr>
        <w:t>1 现行国家消防规范、标准的符合性；</w:t>
      </w:r>
    </w:p>
    <w:p>
      <w:pPr>
        <w:spacing w:line="360" w:lineRule="auto"/>
        <w:ind w:firstLine="420" w:firstLineChars="175"/>
        <w:rPr>
          <w:sz w:val="24"/>
        </w:rPr>
      </w:pPr>
      <w:r>
        <w:rPr>
          <w:rFonts w:hint="eastAsia"/>
          <w:sz w:val="24"/>
        </w:rPr>
        <w:t>2 现存消防安全隐患；</w:t>
      </w:r>
    </w:p>
    <w:p>
      <w:pPr>
        <w:spacing w:line="360" w:lineRule="auto"/>
        <w:ind w:firstLine="420" w:firstLineChars="175"/>
        <w:rPr>
          <w:sz w:val="24"/>
        </w:rPr>
      </w:pPr>
      <w:r>
        <w:rPr>
          <w:rFonts w:hint="eastAsia"/>
          <w:sz w:val="24"/>
        </w:rPr>
        <w:t>3 火灾在建筑内部及建筑间可能的蔓延方式和蔓延路径；</w:t>
      </w:r>
    </w:p>
    <w:p>
      <w:pPr>
        <w:spacing w:line="360" w:lineRule="auto"/>
        <w:ind w:firstLine="420" w:firstLineChars="175"/>
        <w:rPr>
          <w:sz w:val="24"/>
        </w:rPr>
      </w:pPr>
      <w:r>
        <w:rPr>
          <w:rFonts w:hint="eastAsia"/>
          <w:sz w:val="24"/>
        </w:rPr>
        <w:t>4 古建筑存在的疏散问题；</w:t>
      </w:r>
    </w:p>
    <w:p>
      <w:pPr>
        <w:spacing w:line="360" w:lineRule="auto"/>
        <w:ind w:firstLine="420" w:firstLineChars="175"/>
        <w:rPr>
          <w:sz w:val="24"/>
        </w:rPr>
      </w:pPr>
      <w:r>
        <w:rPr>
          <w:rFonts w:hint="eastAsia"/>
          <w:sz w:val="24"/>
        </w:rPr>
        <w:t>5 消防安全改造措施。</w:t>
      </w:r>
    </w:p>
    <w:p>
      <w:pPr>
        <w:spacing w:line="360" w:lineRule="auto"/>
        <w:rPr>
          <w:sz w:val="24"/>
        </w:rPr>
      </w:pPr>
      <w:r>
        <w:rPr>
          <w:rFonts w:hint="eastAsia"/>
          <w:sz w:val="24"/>
        </w:rPr>
        <w:t>4.0.5 古城建筑在修缮、改建、扩建或者消防安全改造完成后，应按4.0.4的要求进行复评估。</w:t>
      </w:r>
    </w:p>
    <w:p>
      <w:pPr>
        <w:rPr>
          <w:sz w:val="24"/>
        </w:rPr>
      </w:pPr>
      <w:r>
        <w:rPr>
          <w:rFonts w:hint="eastAsia"/>
          <w:sz w:val="24"/>
        </w:rPr>
        <w:br w:type="page"/>
      </w:r>
    </w:p>
    <w:p>
      <w:pPr>
        <w:pStyle w:val="2"/>
        <w:jc w:val="center"/>
        <w:rPr>
          <w:sz w:val="32"/>
          <w:szCs w:val="32"/>
        </w:rPr>
      </w:pPr>
      <w:bookmarkStart w:id="4" w:name="_Toc12555"/>
      <w:r>
        <w:rPr>
          <w:rFonts w:hint="eastAsia"/>
          <w:sz w:val="32"/>
          <w:szCs w:val="32"/>
        </w:rPr>
        <w:t>5.规划布局</w:t>
      </w:r>
      <w:bookmarkEnd w:id="4"/>
    </w:p>
    <w:p>
      <w:pPr>
        <w:pStyle w:val="3"/>
        <w:rPr>
          <w:sz w:val="30"/>
          <w:szCs w:val="30"/>
        </w:rPr>
      </w:pPr>
      <w:bookmarkStart w:id="5" w:name="_Toc4364"/>
      <w:r>
        <w:rPr>
          <w:rFonts w:hint="eastAsia"/>
          <w:sz w:val="30"/>
          <w:szCs w:val="30"/>
        </w:rPr>
        <w:t>5.1一般规定</w:t>
      </w:r>
      <w:bookmarkEnd w:id="5"/>
    </w:p>
    <w:p>
      <w:pPr>
        <w:spacing w:line="360" w:lineRule="auto"/>
        <w:rPr>
          <w:sz w:val="24"/>
        </w:rPr>
      </w:pPr>
      <w:r>
        <w:rPr>
          <w:sz w:val="24"/>
        </w:rPr>
        <w:t>5.</w:t>
      </w:r>
      <w:r>
        <w:rPr>
          <w:rFonts w:hint="eastAsia"/>
          <w:sz w:val="24"/>
        </w:rPr>
        <w:t>1</w:t>
      </w:r>
      <w:r>
        <w:rPr>
          <w:sz w:val="24"/>
        </w:rPr>
        <w:t>.1丽江古城</w:t>
      </w:r>
      <w:r>
        <w:rPr>
          <w:rFonts w:hint="eastAsia"/>
          <w:sz w:val="24"/>
        </w:rPr>
        <w:t>（含大研、束河、白沙片区）</w:t>
      </w:r>
      <w:r>
        <w:rPr>
          <w:sz w:val="24"/>
        </w:rPr>
        <w:t>应编制消防专项规划，并应与其他基础设施统一规划、同步实施。</w:t>
      </w:r>
    </w:p>
    <w:p>
      <w:pPr>
        <w:spacing w:line="360" w:lineRule="auto"/>
        <w:rPr>
          <w:sz w:val="24"/>
        </w:rPr>
      </w:pPr>
      <w:r>
        <w:rPr>
          <w:sz w:val="24"/>
        </w:rPr>
        <w:t>5.</w:t>
      </w:r>
      <w:r>
        <w:rPr>
          <w:rFonts w:hint="eastAsia"/>
          <w:sz w:val="24"/>
        </w:rPr>
        <w:t>1</w:t>
      </w:r>
      <w:r>
        <w:rPr>
          <w:sz w:val="24"/>
        </w:rPr>
        <w:t>.</w:t>
      </w:r>
      <w:r>
        <w:rPr>
          <w:rFonts w:hint="eastAsia"/>
          <w:sz w:val="24"/>
        </w:rPr>
        <w:t>2</w:t>
      </w:r>
      <w:r>
        <w:rPr>
          <w:sz w:val="24"/>
        </w:rPr>
        <w:t xml:space="preserve"> </w:t>
      </w:r>
      <w:r>
        <w:rPr>
          <w:rFonts w:hint="eastAsia"/>
          <w:sz w:val="24"/>
        </w:rPr>
        <w:t>古城内建筑群应采取改善用火和用电条件、提高耐火性能、设置防火分隔、开辟消防通道、增设消防水源等措施，改善消防安全条件，降低火灾风险。</w:t>
      </w:r>
    </w:p>
    <w:p>
      <w:pPr>
        <w:spacing w:line="360" w:lineRule="auto"/>
        <w:rPr>
          <w:b/>
          <w:sz w:val="24"/>
        </w:rPr>
      </w:pPr>
      <w:r>
        <w:rPr>
          <w:b/>
          <w:sz w:val="24"/>
        </w:rPr>
        <w:t>5.</w:t>
      </w:r>
      <w:r>
        <w:rPr>
          <w:rFonts w:hint="eastAsia"/>
          <w:b/>
          <w:sz w:val="24"/>
        </w:rPr>
        <w:t>1</w:t>
      </w:r>
      <w:r>
        <w:rPr>
          <w:b/>
          <w:sz w:val="24"/>
        </w:rPr>
        <w:t>.</w:t>
      </w:r>
      <w:r>
        <w:rPr>
          <w:rFonts w:hint="eastAsia"/>
          <w:b/>
          <w:sz w:val="24"/>
        </w:rPr>
        <w:t>3</w:t>
      </w:r>
      <w:r>
        <w:rPr>
          <w:b/>
          <w:sz w:val="24"/>
        </w:rPr>
        <w:t xml:space="preserve"> 丽江古城内严禁设置易燃易爆危险品、化学物品的经营、储存场所，严禁设置分散充电设施和电动车辆运营、经营售卖场所。</w:t>
      </w:r>
      <w:r>
        <w:rPr>
          <w:rFonts w:hint="eastAsia"/>
          <w:b/>
          <w:sz w:val="24"/>
        </w:rPr>
        <w:t>丙类生产、储存场所应放置在相对独立的安全区域。</w:t>
      </w:r>
    </w:p>
    <w:p>
      <w:pPr>
        <w:spacing w:line="360" w:lineRule="auto"/>
        <w:rPr>
          <w:sz w:val="24"/>
        </w:rPr>
      </w:pPr>
      <w:r>
        <w:rPr>
          <w:rFonts w:hint="eastAsia"/>
          <w:sz w:val="24"/>
        </w:rPr>
        <w:t>5.1.4古城内</w:t>
      </w:r>
      <w:r>
        <w:rPr>
          <w:sz w:val="24"/>
        </w:rPr>
        <w:t>文物建筑保护区与非文物建筑之间，宜采取道路、水系、广场、绿地等防火隔离带或其它有效的防火措施进行分隔</w:t>
      </w:r>
      <w:r>
        <w:rPr>
          <w:rFonts w:hint="eastAsia"/>
          <w:sz w:val="24"/>
        </w:rPr>
        <w:t>。防火分隔措施当采用防火墙、水幕等防火分隔措施时，应满足相应的技术标准和构造要求；当采用</w:t>
      </w:r>
      <w:r>
        <w:rPr>
          <w:sz w:val="24"/>
        </w:rPr>
        <w:t>道路、水系、广场、绿地</w:t>
      </w:r>
      <w:r>
        <w:rPr>
          <w:rFonts w:hint="eastAsia"/>
          <w:sz w:val="24"/>
        </w:rPr>
        <w:t>等空间作为防火隔离带时，防火隔离带的宽度应满足附录C的要求。</w:t>
      </w:r>
    </w:p>
    <w:p>
      <w:pPr>
        <w:spacing w:line="360" w:lineRule="auto"/>
        <w:rPr>
          <w:sz w:val="24"/>
        </w:rPr>
      </w:pPr>
      <w:r>
        <w:rPr>
          <w:sz w:val="24"/>
        </w:rPr>
        <w:t>5.</w:t>
      </w:r>
      <w:r>
        <w:rPr>
          <w:rFonts w:hint="eastAsia"/>
          <w:sz w:val="24"/>
        </w:rPr>
        <w:t>1</w:t>
      </w:r>
      <w:r>
        <w:rPr>
          <w:sz w:val="24"/>
        </w:rPr>
        <w:t>.</w:t>
      </w:r>
      <w:r>
        <w:rPr>
          <w:rFonts w:hint="eastAsia"/>
          <w:sz w:val="24"/>
        </w:rPr>
        <w:t>5</w:t>
      </w:r>
      <w:r>
        <w:rPr>
          <w:sz w:val="24"/>
        </w:rPr>
        <w:t>古城内集中活动场地（室）、主要路口等场所应设置普及消防安全常识的固定消防宣传点。</w:t>
      </w:r>
    </w:p>
    <w:p>
      <w:pPr>
        <w:pStyle w:val="3"/>
        <w:rPr>
          <w:sz w:val="30"/>
          <w:szCs w:val="30"/>
        </w:rPr>
      </w:pPr>
      <w:bookmarkStart w:id="6" w:name="_Toc8675"/>
      <w:r>
        <w:rPr>
          <w:rFonts w:hint="eastAsia"/>
          <w:sz w:val="30"/>
          <w:szCs w:val="30"/>
        </w:rPr>
        <w:t>5.2消防分区</w:t>
      </w:r>
      <w:bookmarkEnd w:id="6"/>
    </w:p>
    <w:p>
      <w:pPr>
        <w:spacing w:line="360" w:lineRule="auto"/>
        <w:rPr>
          <w:sz w:val="24"/>
        </w:rPr>
      </w:pPr>
      <w:r>
        <w:rPr>
          <w:rFonts w:hint="eastAsia"/>
          <w:sz w:val="24"/>
        </w:rPr>
        <w:t>5</w:t>
      </w:r>
      <w:r>
        <w:rPr>
          <w:sz w:val="24"/>
        </w:rPr>
        <w:t>.2.1 丽江古城应在现场勘查和测绘的基础上，以控制火灾可能的蔓延范围为防控目标划分消防分区、确定防火分隔</w:t>
      </w:r>
      <w:r>
        <w:rPr>
          <w:rFonts w:hint="eastAsia"/>
          <w:sz w:val="24"/>
        </w:rPr>
        <w:t>边界。</w:t>
      </w:r>
    </w:p>
    <w:p>
      <w:pPr>
        <w:spacing w:line="360" w:lineRule="auto"/>
        <w:rPr>
          <w:sz w:val="24"/>
        </w:rPr>
      </w:pPr>
      <w:r>
        <w:rPr>
          <w:rFonts w:hint="eastAsia"/>
          <w:sz w:val="24"/>
        </w:rPr>
        <w:t>5.2.2</w:t>
      </w:r>
      <w:r>
        <w:rPr>
          <w:sz w:val="24"/>
        </w:rPr>
        <w:t>防火分隔边界宜充分利用地形和建筑脉络特点，采用防火墙、</w:t>
      </w:r>
      <w:r>
        <w:rPr>
          <w:rFonts w:hint="eastAsia"/>
          <w:sz w:val="24"/>
        </w:rPr>
        <w:t>水幕等防火分隔措施和</w:t>
      </w:r>
      <w:r>
        <w:rPr>
          <w:sz w:val="24"/>
        </w:rPr>
        <w:t>既有的道路、水系、广场、绿地等</w:t>
      </w:r>
      <w:r>
        <w:rPr>
          <w:rFonts w:hint="eastAsia"/>
          <w:sz w:val="24"/>
        </w:rPr>
        <w:t>确定的防火隔离带</w:t>
      </w:r>
      <w:r>
        <w:rPr>
          <w:sz w:val="24"/>
        </w:rPr>
        <w:t>划分</w:t>
      </w:r>
      <w:r>
        <w:rPr>
          <w:rFonts w:hint="eastAsia"/>
          <w:sz w:val="24"/>
        </w:rPr>
        <w:t>。当使用防火隔离带时，防火隔离带的宽度应采用附录C的方法确定</w:t>
      </w:r>
      <w:r>
        <w:rPr>
          <w:sz w:val="24"/>
        </w:rPr>
        <w:t>。</w:t>
      </w:r>
    </w:p>
    <w:p>
      <w:pPr>
        <w:spacing w:line="360" w:lineRule="auto"/>
        <w:rPr>
          <w:sz w:val="24"/>
        </w:rPr>
      </w:pPr>
      <w:r>
        <w:rPr>
          <w:rFonts w:hint="eastAsia"/>
          <w:sz w:val="24"/>
        </w:rPr>
        <w:t>5</w:t>
      </w:r>
      <w:r>
        <w:rPr>
          <w:sz w:val="24"/>
        </w:rPr>
        <w:t>.2.</w:t>
      </w:r>
      <w:r>
        <w:rPr>
          <w:rFonts w:hint="eastAsia"/>
          <w:sz w:val="24"/>
        </w:rPr>
        <w:t>3</w:t>
      </w:r>
      <w:r>
        <w:rPr>
          <w:sz w:val="24"/>
        </w:rPr>
        <w:t>依据火灾可能的蔓延范围，丽江古城各区域按建筑间火灾蔓延风险划分四个等级：低蔓延风险、中蔓延风险、高蔓延风险和极高蔓延风险</w:t>
      </w:r>
      <w:r>
        <w:rPr>
          <w:rFonts w:hint="eastAsia"/>
          <w:sz w:val="24"/>
        </w:rPr>
        <w:t>，</w:t>
      </w:r>
      <w:r>
        <w:rPr>
          <w:sz w:val="24"/>
        </w:rPr>
        <w:t>各区域火灾蔓延风险等级</w:t>
      </w:r>
      <w:r>
        <w:rPr>
          <w:rFonts w:hint="eastAsia"/>
          <w:sz w:val="24"/>
        </w:rPr>
        <w:t>的范围</w:t>
      </w:r>
      <w:r>
        <w:rPr>
          <w:sz w:val="24"/>
        </w:rPr>
        <w:t>按附图</w:t>
      </w:r>
      <w:r>
        <w:rPr>
          <w:rFonts w:hint="eastAsia"/>
          <w:sz w:val="24"/>
        </w:rPr>
        <w:t>D</w:t>
      </w:r>
      <w:r>
        <w:rPr>
          <w:sz w:val="24"/>
        </w:rPr>
        <w:t>和附表</w:t>
      </w:r>
      <w:r>
        <w:rPr>
          <w:rFonts w:hint="eastAsia"/>
          <w:sz w:val="24"/>
        </w:rPr>
        <w:t>E</w:t>
      </w:r>
      <w:r>
        <w:rPr>
          <w:sz w:val="24"/>
        </w:rPr>
        <w:t>确定。</w:t>
      </w:r>
    </w:p>
    <w:p>
      <w:pPr>
        <w:spacing w:line="360" w:lineRule="auto"/>
        <w:rPr>
          <w:sz w:val="24"/>
        </w:rPr>
      </w:pPr>
      <w:r>
        <w:rPr>
          <w:rFonts w:hint="eastAsia"/>
          <w:sz w:val="24"/>
        </w:rPr>
        <w:t>5</w:t>
      </w:r>
      <w:r>
        <w:rPr>
          <w:sz w:val="24"/>
        </w:rPr>
        <w:t>.2.</w:t>
      </w:r>
      <w:r>
        <w:rPr>
          <w:rFonts w:hint="eastAsia"/>
          <w:sz w:val="24"/>
        </w:rPr>
        <w:t>4</w:t>
      </w:r>
      <w:r>
        <w:rPr>
          <w:sz w:val="24"/>
        </w:rPr>
        <w:t>低蔓延风险和中等蔓延风险区域消防分区占地面积不宜超过3000m</w:t>
      </w:r>
      <w:r>
        <w:rPr>
          <w:sz w:val="24"/>
          <w:vertAlign w:val="superscript"/>
        </w:rPr>
        <w:t>2</w:t>
      </w:r>
      <w:r>
        <w:rPr>
          <w:sz w:val="24"/>
        </w:rPr>
        <w:t>，超过3000m</w:t>
      </w:r>
      <w:r>
        <w:rPr>
          <w:sz w:val="24"/>
          <w:vertAlign w:val="superscript"/>
        </w:rPr>
        <w:t>2</w:t>
      </w:r>
      <w:r>
        <w:rPr>
          <w:sz w:val="24"/>
        </w:rPr>
        <w:t>时，应依据区域特点设置</w:t>
      </w:r>
      <w:r>
        <w:rPr>
          <w:rFonts w:hint="eastAsia"/>
          <w:sz w:val="24"/>
        </w:rPr>
        <w:t>5</w:t>
      </w:r>
      <w:r>
        <w:rPr>
          <w:sz w:val="24"/>
        </w:rPr>
        <w:t>.2.</w:t>
      </w:r>
      <w:r>
        <w:rPr>
          <w:rFonts w:hint="eastAsia"/>
          <w:sz w:val="24"/>
        </w:rPr>
        <w:t>2</w:t>
      </w:r>
      <w:r>
        <w:rPr>
          <w:sz w:val="24"/>
        </w:rPr>
        <w:t>条所述防火分隔边界；对于难以满足3000m</w:t>
      </w:r>
      <w:r>
        <w:rPr>
          <w:sz w:val="24"/>
          <w:vertAlign w:val="superscript"/>
        </w:rPr>
        <w:t>2</w:t>
      </w:r>
      <w:r>
        <w:rPr>
          <w:rFonts w:hint="eastAsia"/>
          <w:sz w:val="24"/>
        </w:rPr>
        <w:t>消防</w:t>
      </w:r>
      <w:r>
        <w:rPr>
          <w:sz w:val="24"/>
        </w:rPr>
        <w:t>分区要求的高蔓延风险区域，</w:t>
      </w:r>
      <w:r>
        <w:rPr>
          <w:rFonts w:hint="eastAsia"/>
          <w:sz w:val="24"/>
        </w:rPr>
        <w:t>其经营性场所应</w:t>
      </w:r>
      <w:r>
        <w:rPr>
          <w:sz w:val="24"/>
        </w:rPr>
        <w:t>设置</w:t>
      </w:r>
      <w:r>
        <w:rPr>
          <w:rFonts w:hint="eastAsia"/>
          <w:sz w:val="24"/>
        </w:rPr>
        <w:t>简易自动喷水灭火</w:t>
      </w:r>
      <w:r>
        <w:rPr>
          <w:sz w:val="24"/>
        </w:rPr>
        <w:t>系统或自动喷水灭火系统</w:t>
      </w:r>
      <w:r>
        <w:rPr>
          <w:rFonts w:hint="eastAsia"/>
          <w:sz w:val="24"/>
        </w:rPr>
        <w:t>；</w:t>
      </w:r>
      <w:r>
        <w:rPr>
          <w:sz w:val="24"/>
        </w:rPr>
        <w:t>对于极高蔓延风险区域</w:t>
      </w:r>
      <w:r>
        <w:rPr>
          <w:rFonts w:hint="eastAsia"/>
          <w:sz w:val="24"/>
        </w:rPr>
        <w:t>，其经营性场所应</w:t>
      </w:r>
      <w:r>
        <w:rPr>
          <w:sz w:val="24"/>
        </w:rPr>
        <w:t>设置</w:t>
      </w:r>
      <w:r>
        <w:rPr>
          <w:rFonts w:hint="eastAsia"/>
          <w:sz w:val="24"/>
        </w:rPr>
        <w:t>简易自动喷水灭火</w:t>
      </w:r>
      <w:r>
        <w:rPr>
          <w:sz w:val="24"/>
        </w:rPr>
        <w:t>系统或自动喷水灭火系统</w:t>
      </w:r>
      <w:r>
        <w:rPr>
          <w:rFonts w:hint="eastAsia"/>
          <w:sz w:val="24"/>
        </w:rPr>
        <w:t>，住宅场所宜</w:t>
      </w:r>
      <w:r>
        <w:rPr>
          <w:sz w:val="24"/>
        </w:rPr>
        <w:t>设置</w:t>
      </w:r>
      <w:r>
        <w:rPr>
          <w:rFonts w:hint="eastAsia"/>
          <w:sz w:val="24"/>
        </w:rPr>
        <w:t>简易自动喷水灭火</w:t>
      </w:r>
      <w:r>
        <w:rPr>
          <w:sz w:val="24"/>
        </w:rPr>
        <w:t>系统。</w:t>
      </w:r>
    </w:p>
    <w:p>
      <w:pPr>
        <w:pStyle w:val="3"/>
        <w:rPr>
          <w:sz w:val="30"/>
          <w:szCs w:val="30"/>
        </w:rPr>
      </w:pPr>
      <w:bookmarkStart w:id="7" w:name="_Toc15614"/>
      <w:r>
        <w:rPr>
          <w:rFonts w:hint="eastAsia"/>
          <w:sz w:val="30"/>
          <w:szCs w:val="30"/>
        </w:rPr>
        <w:t>5.3 消防道路</w:t>
      </w:r>
      <w:bookmarkEnd w:id="7"/>
    </w:p>
    <w:p>
      <w:pPr>
        <w:spacing w:line="360" w:lineRule="auto"/>
        <w:rPr>
          <w:sz w:val="24"/>
        </w:rPr>
      </w:pPr>
      <w:r>
        <w:rPr>
          <w:sz w:val="24"/>
        </w:rPr>
        <w:t>5.</w:t>
      </w:r>
      <w:r>
        <w:rPr>
          <w:rFonts w:hint="eastAsia"/>
          <w:sz w:val="24"/>
        </w:rPr>
        <w:t>3</w:t>
      </w:r>
      <w:r>
        <w:rPr>
          <w:sz w:val="24"/>
        </w:rPr>
        <w:t>.1 古城内应结合地形地貌设置消防道路，尽端式消防车道宜设置回车场地。</w:t>
      </w:r>
    </w:p>
    <w:p>
      <w:pPr>
        <w:spacing w:line="360" w:lineRule="auto"/>
        <w:rPr>
          <w:sz w:val="24"/>
        </w:rPr>
      </w:pPr>
      <w:r>
        <w:rPr>
          <w:sz w:val="24"/>
        </w:rPr>
        <w:t>5.</w:t>
      </w:r>
      <w:r>
        <w:rPr>
          <w:rFonts w:hint="eastAsia"/>
          <w:sz w:val="24"/>
        </w:rPr>
        <w:t>3</w:t>
      </w:r>
      <w:r>
        <w:rPr>
          <w:sz w:val="24"/>
        </w:rPr>
        <w:t>.2 消防道路的净空不得低于4.0m，古城内消防站应依据按辖区消防道路净宽范围的不同，按表5.3.</w:t>
      </w:r>
      <w:r>
        <w:rPr>
          <w:rFonts w:hint="eastAsia"/>
          <w:sz w:val="24"/>
        </w:rPr>
        <w:t>2</w:t>
      </w:r>
      <w:r>
        <w:rPr>
          <w:sz w:val="24"/>
        </w:rPr>
        <w:t>配置相应救援装备</w:t>
      </w:r>
      <w:r>
        <w:rPr>
          <w:rFonts w:hint="eastAsia"/>
          <w:sz w:val="24"/>
        </w:rPr>
        <w:t>，古城内道路净宽情况见附图F</w:t>
      </w:r>
      <w:r>
        <w:rPr>
          <w:sz w:val="24"/>
        </w:rPr>
        <w:t>。</w:t>
      </w:r>
    </w:p>
    <w:p>
      <w:pPr>
        <w:spacing w:line="360" w:lineRule="auto"/>
        <w:jc w:val="center"/>
        <w:rPr>
          <w:b/>
          <w:sz w:val="24"/>
        </w:rPr>
      </w:pPr>
      <w:r>
        <w:rPr>
          <w:rFonts w:hint="eastAsia"/>
          <w:b/>
          <w:sz w:val="24"/>
        </w:rPr>
        <w:t>表5.3.2 消防装备配置要求</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8"/>
        <w:gridCol w:w="1980"/>
        <w:gridCol w:w="44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8" w:type="dxa"/>
          </w:tcPr>
          <w:p>
            <w:pPr>
              <w:spacing w:line="360" w:lineRule="auto"/>
              <w:jc w:val="center"/>
              <w:rPr>
                <w:szCs w:val="21"/>
              </w:rPr>
            </w:pPr>
            <w:r>
              <w:rPr>
                <w:rFonts w:hint="eastAsia"/>
                <w:szCs w:val="21"/>
              </w:rPr>
              <w:t>类别</w:t>
            </w:r>
          </w:p>
        </w:tc>
        <w:tc>
          <w:tcPr>
            <w:tcW w:w="1980" w:type="dxa"/>
          </w:tcPr>
          <w:p>
            <w:pPr>
              <w:spacing w:line="360" w:lineRule="auto"/>
              <w:jc w:val="center"/>
              <w:rPr>
                <w:szCs w:val="21"/>
              </w:rPr>
            </w:pPr>
            <w:r>
              <w:rPr>
                <w:rFonts w:hint="eastAsia"/>
                <w:szCs w:val="21"/>
              </w:rPr>
              <w:t>道路净宽/m</w:t>
            </w:r>
          </w:p>
        </w:tc>
        <w:tc>
          <w:tcPr>
            <w:tcW w:w="4454" w:type="dxa"/>
          </w:tcPr>
          <w:p>
            <w:pPr>
              <w:spacing w:line="360" w:lineRule="auto"/>
              <w:jc w:val="center"/>
              <w:rPr>
                <w:szCs w:val="21"/>
              </w:rPr>
            </w:pPr>
            <w:r>
              <w:rPr>
                <w:rFonts w:hint="eastAsia"/>
                <w:szCs w:val="21"/>
              </w:rPr>
              <w:t>消防装备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8" w:type="dxa"/>
          </w:tcPr>
          <w:p>
            <w:pPr>
              <w:spacing w:line="360" w:lineRule="auto"/>
              <w:jc w:val="center"/>
              <w:rPr>
                <w:szCs w:val="21"/>
              </w:rPr>
            </w:pPr>
            <w:r>
              <w:rPr>
                <w:rFonts w:hint="eastAsia"/>
                <w:szCs w:val="21"/>
              </w:rPr>
              <w:t>普通消防车道</w:t>
            </w:r>
          </w:p>
        </w:tc>
        <w:tc>
          <w:tcPr>
            <w:tcW w:w="1980" w:type="dxa"/>
          </w:tcPr>
          <w:p>
            <w:pPr>
              <w:spacing w:line="360" w:lineRule="auto"/>
              <w:jc w:val="center"/>
              <w:rPr>
                <w:szCs w:val="21"/>
              </w:rPr>
            </w:pPr>
            <w:r>
              <w:rPr>
                <w:rFonts w:hint="eastAsia"/>
                <w:szCs w:val="21"/>
              </w:rPr>
              <w:t>≥4.0</w:t>
            </w:r>
          </w:p>
        </w:tc>
        <w:tc>
          <w:tcPr>
            <w:tcW w:w="4454" w:type="dxa"/>
          </w:tcPr>
          <w:p>
            <w:pPr>
              <w:spacing w:line="360" w:lineRule="auto"/>
              <w:jc w:val="center"/>
              <w:rPr>
                <w:szCs w:val="21"/>
              </w:rPr>
            </w:pPr>
            <w:r>
              <w:rPr>
                <w:rFonts w:hint="eastAsia"/>
                <w:szCs w:val="21"/>
              </w:rPr>
              <w:t>普通消防车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8" w:type="dxa"/>
          </w:tcPr>
          <w:p>
            <w:pPr>
              <w:spacing w:line="360" w:lineRule="auto"/>
              <w:jc w:val="center"/>
              <w:rPr>
                <w:szCs w:val="21"/>
              </w:rPr>
            </w:pPr>
            <w:r>
              <w:rPr>
                <w:rFonts w:hint="eastAsia"/>
                <w:szCs w:val="21"/>
              </w:rPr>
              <w:t>小型消防车道</w:t>
            </w:r>
          </w:p>
        </w:tc>
        <w:tc>
          <w:tcPr>
            <w:tcW w:w="1980" w:type="dxa"/>
          </w:tcPr>
          <w:p>
            <w:pPr>
              <w:spacing w:line="360" w:lineRule="auto"/>
              <w:jc w:val="center"/>
              <w:rPr>
                <w:szCs w:val="21"/>
              </w:rPr>
            </w:pPr>
            <w:r>
              <w:rPr>
                <w:rFonts w:hint="eastAsia"/>
                <w:szCs w:val="21"/>
              </w:rPr>
              <w:t>3.0~4.0</w:t>
            </w:r>
          </w:p>
        </w:tc>
        <w:tc>
          <w:tcPr>
            <w:tcW w:w="4454" w:type="dxa"/>
          </w:tcPr>
          <w:p>
            <w:pPr>
              <w:spacing w:line="360" w:lineRule="auto"/>
              <w:jc w:val="center"/>
              <w:rPr>
                <w:szCs w:val="21"/>
              </w:rPr>
            </w:pPr>
            <w:r>
              <w:rPr>
                <w:rFonts w:hint="eastAsia"/>
                <w:szCs w:val="21"/>
              </w:rPr>
              <w:t>小型消防车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8" w:type="dxa"/>
          </w:tcPr>
          <w:p>
            <w:pPr>
              <w:spacing w:line="360" w:lineRule="auto"/>
              <w:jc w:val="center"/>
              <w:rPr>
                <w:szCs w:val="21"/>
              </w:rPr>
            </w:pPr>
            <w:r>
              <w:rPr>
                <w:rFonts w:hint="eastAsia"/>
                <w:szCs w:val="21"/>
              </w:rPr>
              <w:t>消防摩托车道</w:t>
            </w:r>
          </w:p>
        </w:tc>
        <w:tc>
          <w:tcPr>
            <w:tcW w:w="1980" w:type="dxa"/>
          </w:tcPr>
          <w:p>
            <w:pPr>
              <w:spacing w:line="360" w:lineRule="auto"/>
              <w:jc w:val="center"/>
              <w:rPr>
                <w:szCs w:val="21"/>
              </w:rPr>
            </w:pPr>
            <w:r>
              <w:rPr>
                <w:rFonts w:hint="eastAsia"/>
                <w:szCs w:val="21"/>
              </w:rPr>
              <w:t>2.0~3.0</w:t>
            </w:r>
          </w:p>
        </w:tc>
        <w:tc>
          <w:tcPr>
            <w:tcW w:w="4454" w:type="dxa"/>
          </w:tcPr>
          <w:p>
            <w:pPr>
              <w:spacing w:line="360" w:lineRule="auto"/>
              <w:jc w:val="center"/>
              <w:rPr>
                <w:szCs w:val="21"/>
              </w:rPr>
            </w:pPr>
            <w:r>
              <w:rPr>
                <w:rFonts w:hint="eastAsia"/>
                <w:szCs w:val="21"/>
              </w:rPr>
              <w:t>消防摩托车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8" w:type="dxa"/>
          </w:tcPr>
          <w:p>
            <w:pPr>
              <w:spacing w:line="360" w:lineRule="auto"/>
              <w:jc w:val="center"/>
              <w:rPr>
                <w:szCs w:val="21"/>
              </w:rPr>
            </w:pPr>
            <w:r>
              <w:rPr>
                <w:rFonts w:hint="eastAsia"/>
                <w:szCs w:val="21"/>
              </w:rPr>
              <w:t>步行消防道</w:t>
            </w:r>
          </w:p>
        </w:tc>
        <w:tc>
          <w:tcPr>
            <w:tcW w:w="1980" w:type="dxa"/>
          </w:tcPr>
          <w:p>
            <w:pPr>
              <w:spacing w:line="360" w:lineRule="auto"/>
              <w:jc w:val="center"/>
              <w:rPr>
                <w:szCs w:val="21"/>
              </w:rPr>
            </w:pPr>
            <w:r>
              <w:rPr>
                <w:rFonts w:hint="eastAsia"/>
                <w:szCs w:val="21"/>
              </w:rPr>
              <w:t>&lt; 2.0</w:t>
            </w:r>
          </w:p>
        </w:tc>
        <w:tc>
          <w:tcPr>
            <w:tcW w:w="4454" w:type="dxa"/>
          </w:tcPr>
          <w:p>
            <w:pPr>
              <w:spacing w:line="360" w:lineRule="auto"/>
              <w:jc w:val="center"/>
              <w:rPr>
                <w:szCs w:val="21"/>
              </w:rPr>
            </w:pPr>
            <w:r>
              <w:rPr>
                <w:rFonts w:hint="eastAsia"/>
                <w:szCs w:val="21"/>
              </w:rPr>
              <w:t>手抬机动消防泵/移动式高压喷雾灭火装置</w:t>
            </w:r>
          </w:p>
        </w:tc>
      </w:tr>
    </w:tbl>
    <w:p>
      <w:pPr>
        <w:spacing w:line="360" w:lineRule="auto"/>
        <w:rPr>
          <w:b/>
          <w:bCs/>
          <w:sz w:val="24"/>
        </w:rPr>
      </w:pPr>
    </w:p>
    <w:p>
      <w:pPr>
        <w:spacing w:line="360" w:lineRule="auto"/>
        <w:rPr>
          <w:b/>
          <w:bCs/>
          <w:sz w:val="24"/>
        </w:rPr>
      </w:pPr>
      <w:r>
        <w:rPr>
          <w:b/>
          <w:bCs/>
          <w:sz w:val="24"/>
        </w:rPr>
        <w:t>5.</w:t>
      </w:r>
      <w:r>
        <w:rPr>
          <w:rFonts w:hint="eastAsia"/>
          <w:b/>
          <w:bCs/>
          <w:sz w:val="24"/>
        </w:rPr>
        <w:t>3</w:t>
      </w:r>
      <w:r>
        <w:rPr>
          <w:b/>
          <w:bCs/>
          <w:sz w:val="24"/>
        </w:rPr>
        <w:t>.3消防道路应保持畅通，供消防车、消防摩托通行的道路严禁设置隔离桩、栏杆等障碍设施，不得堆放土石、柴草等影响消防车辆通行的障碍物。</w:t>
      </w:r>
    </w:p>
    <w:p>
      <w:pPr>
        <w:rPr>
          <w:rFonts w:ascii="黑体" w:hAnsi="黑体" w:eastAsia="黑体" w:cs="黑体"/>
          <w:b/>
          <w:sz w:val="28"/>
          <w:szCs w:val="28"/>
        </w:rPr>
      </w:pPr>
      <w:r>
        <w:rPr>
          <w:rFonts w:hint="eastAsia" w:ascii="黑体" w:hAnsi="黑体" w:eastAsia="黑体" w:cs="黑体"/>
          <w:b/>
          <w:sz w:val="28"/>
          <w:szCs w:val="28"/>
        </w:rPr>
        <w:br w:type="page"/>
      </w:r>
    </w:p>
    <w:p>
      <w:pPr>
        <w:pStyle w:val="2"/>
        <w:jc w:val="center"/>
        <w:rPr>
          <w:sz w:val="32"/>
          <w:szCs w:val="32"/>
        </w:rPr>
      </w:pPr>
      <w:bookmarkStart w:id="8" w:name="_Toc8762"/>
      <w:r>
        <w:rPr>
          <w:rFonts w:hint="eastAsia"/>
          <w:sz w:val="32"/>
          <w:szCs w:val="32"/>
        </w:rPr>
        <w:t>6 消防设施</w:t>
      </w:r>
      <w:bookmarkEnd w:id="8"/>
    </w:p>
    <w:p>
      <w:pPr>
        <w:pStyle w:val="3"/>
        <w:rPr>
          <w:sz w:val="30"/>
          <w:szCs w:val="30"/>
        </w:rPr>
      </w:pPr>
      <w:bookmarkStart w:id="9" w:name="_Toc12433"/>
      <w:r>
        <w:rPr>
          <w:rFonts w:hint="eastAsia"/>
          <w:sz w:val="30"/>
          <w:szCs w:val="30"/>
        </w:rPr>
        <w:t>6.1消防站点</w:t>
      </w:r>
      <w:bookmarkEnd w:id="9"/>
    </w:p>
    <w:p>
      <w:pPr>
        <w:spacing w:line="360" w:lineRule="auto"/>
        <w:rPr>
          <w:sz w:val="24"/>
        </w:rPr>
      </w:pPr>
      <w:r>
        <w:rPr>
          <w:rFonts w:hint="eastAsia"/>
          <w:sz w:val="24"/>
        </w:rPr>
        <w:t>6</w:t>
      </w:r>
      <w:r>
        <w:rPr>
          <w:sz w:val="24"/>
        </w:rPr>
        <w:t>.</w:t>
      </w:r>
      <w:r>
        <w:rPr>
          <w:rFonts w:hint="eastAsia"/>
          <w:sz w:val="24"/>
        </w:rPr>
        <w:t>1</w:t>
      </w:r>
      <w:r>
        <w:rPr>
          <w:sz w:val="24"/>
        </w:rPr>
        <w:t>.1 古城内消防站的选址，应以接警后5min内到达起火区域为原则。对于不满足该条件的区域，应设置微型消防站，当设置微型消防站确有困难时，应设立消防点。</w:t>
      </w:r>
    </w:p>
    <w:p>
      <w:pPr>
        <w:spacing w:line="360" w:lineRule="auto"/>
        <w:rPr>
          <w:sz w:val="24"/>
        </w:rPr>
      </w:pPr>
      <w:r>
        <w:rPr>
          <w:rFonts w:hint="eastAsia"/>
          <w:sz w:val="24"/>
        </w:rPr>
        <w:t>6</w:t>
      </w:r>
      <w:r>
        <w:rPr>
          <w:sz w:val="24"/>
        </w:rPr>
        <w:t>.</w:t>
      </w:r>
      <w:r>
        <w:rPr>
          <w:rFonts w:hint="eastAsia"/>
          <w:sz w:val="24"/>
        </w:rPr>
        <w:t>1</w:t>
      </w:r>
      <w:r>
        <w:rPr>
          <w:sz w:val="24"/>
        </w:rPr>
        <w:t>.2 微型消防站、消防点的选址应满足到古建筑的时间不大于3min。</w:t>
      </w:r>
    </w:p>
    <w:p>
      <w:pPr>
        <w:spacing w:line="360" w:lineRule="auto"/>
        <w:rPr>
          <w:sz w:val="24"/>
        </w:rPr>
      </w:pPr>
      <w:r>
        <w:rPr>
          <w:rFonts w:hint="eastAsia"/>
          <w:sz w:val="24"/>
        </w:rPr>
        <w:t>6</w:t>
      </w:r>
      <w:r>
        <w:rPr>
          <w:sz w:val="24"/>
        </w:rPr>
        <w:t>.</w:t>
      </w:r>
      <w:r>
        <w:rPr>
          <w:rFonts w:hint="eastAsia"/>
          <w:sz w:val="24"/>
        </w:rPr>
        <w:t>1</w:t>
      </w:r>
      <w:r>
        <w:rPr>
          <w:sz w:val="24"/>
        </w:rPr>
        <w:t>.3 微型消防站人员、装备配置宜满足表</w:t>
      </w:r>
      <w:r>
        <w:rPr>
          <w:rFonts w:hint="eastAsia"/>
          <w:sz w:val="24"/>
        </w:rPr>
        <w:t>6</w:t>
      </w:r>
      <w:r>
        <w:rPr>
          <w:sz w:val="24"/>
        </w:rPr>
        <w:t>.</w:t>
      </w:r>
      <w:r>
        <w:rPr>
          <w:rFonts w:hint="eastAsia"/>
          <w:sz w:val="24"/>
        </w:rPr>
        <w:t>1</w:t>
      </w:r>
      <w:r>
        <w:rPr>
          <w:sz w:val="24"/>
        </w:rPr>
        <w:t>.3a的要求，消防点人员、装备宜满足表</w:t>
      </w:r>
      <w:r>
        <w:rPr>
          <w:rFonts w:hint="eastAsia"/>
          <w:sz w:val="24"/>
        </w:rPr>
        <w:t>6</w:t>
      </w:r>
      <w:r>
        <w:rPr>
          <w:sz w:val="24"/>
        </w:rPr>
        <w:t>.</w:t>
      </w:r>
      <w:r>
        <w:rPr>
          <w:rFonts w:hint="eastAsia"/>
          <w:sz w:val="24"/>
        </w:rPr>
        <w:t>1</w:t>
      </w:r>
      <w:r>
        <w:rPr>
          <w:sz w:val="24"/>
        </w:rPr>
        <w:t>.3b的要求。</w:t>
      </w:r>
    </w:p>
    <w:p>
      <w:pPr>
        <w:spacing w:line="360" w:lineRule="auto"/>
        <w:jc w:val="center"/>
        <w:rPr>
          <w:b/>
          <w:bCs/>
        </w:rPr>
      </w:pPr>
      <w:r>
        <w:rPr>
          <w:rFonts w:hint="eastAsia"/>
          <w:b/>
          <w:bCs/>
        </w:rPr>
        <w:t>表6.1.3a 微型消防站人员、装备配置要求</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6"/>
        <w:gridCol w:w="947"/>
        <w:gridCol w:w="947"/>
        <w:gridCol w:w="947"/>
        <w:gridCol w:w="682"/>
        <w:gridCol w:w="832"/>
        <w:gridCol w:w="945"/>
        <w:gridCol w:w="1329"/>
        <w:gridCol w:w="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946" w:type="dxa"/>
          </w:tcPr>
          <w:p>
            <w:pPr>
              <w:snapToGrid w:val="0"/>
              <w:spacing w:line="360" w:lineRule="auto"/>
              <w:rPr>
                <w:sz w:val="18"/>
                <w:szCs w:val="18"/>
              </w:rPr>
            </w:pPr>
            <w:r>
              <w:rPr>
                <w:rFonts w:hint="eastAsia"/>
                <w:sz w:val="18"/>
                <w:szCs w:val="18"/>
              </w:rPr>
              <w:t>消防车辆</w:t>
            </w:r>
          </w:p>
        </w:tc>
        <w:tc>
          <w:tcPr>
            <w:tcW w:w="947" w:type="dxa"/>
          </w:tcPr>
          <w:p>
            <w:pPr>
              <w:widowControl/>
              <w:snapToGrid w:val="0"/>
              <w:jc w:val="left"/>
              <w:rPr>
                <w:sz w:val="18"/>
                <w:szCs w:val="18"/>
              </w:rPr>
            </w:pPr>
            <w:r>
              <w:rPr>
                <w:rFonts w:hint="eastAsia" w:ascii="宋体" w:hAnsi="宋体" w:cs="宋体"/>
                <w:kern w:val="0"/>
                <w:sz w:val="18"/>
                <w:szCs w:val="18"/>
                <w:lang w:bidi="ar"/>
              </w:rPr>
              <w:t>手抬机动消防泵</w:t>
            </w:r>
          </w:p>
        </w:tc>
        <w:tc>
          <w:tcPr>
            <w:tcW w:w="947" w:type="dxa"/>
          </w:tcPr>
          <w:p>
            <w:pPr>
              <w:widowControl/>
              <w:snapToGrid w:val="0"/>
              <w:jc w:val="left"/>
              <w:rPr>
                <w:sz w:val="18"/>
                <w:szCs w:val="18"/>
              </w:rPr>
            </w:pPr>
            <w:r>
              <w:rPr>
                <w:rFonts w:hint="eastAsia" w:ascii="宋体" w:hAnsi="宋体" w:cs="宋体"/>
                <w:kern w:val="0"/>
                <w:sz w:val="18"/>
                <w:szCs w:val="18"/>
                <w:lang w:bidi="ar"/>
              </w:rPr>
              <w:t>移动式水带卷盘</w:t>
            </w:r>
          </w:p>
        </w:tc>
        <w:tc>
          <w:tcPr>
            <w:tcW w:w="947" w:type="dxa"/>
          </w:tcPr>
          <w:p>
            <w:pPr>
              <w:widowControl/>
              <w:snapToGrid w:val="0"/>
              <w:jc w:val="left"/>
              <w:rPr>
                <w:sz w:val="18"/>
                <w:szCs w:val="18"/>
              </w:rPr>
            </w:pPr>
            <w:r>
              <w:rPr>
                <w:rFonts w:hint="eastAsia" w:ascii="宋体" w:hAnsi="宋体" w:cs="宋体"/>
                <w:kern w:val="0"/>
                <w:sz w:val="18"/>
                <w:szCs w:val="18"/>
                <w:lang w:bidi="ar"/>
              </w:rPr>
              <w:t>水带</w:t>
            </w:r>
          </w:p>
        </w:tc>
        <w:tc>
          <w:tcPr>
            <w:tcW w:w="682" w:type="dxa"/>
          </w:tcPr>
          <w:p>
            <w:pPr>
              <w:snapToGrid w:val="0"/>
              <w:spacing w:line="360" w:lineRule="auto"/>
              <w:rPr>
                <w:sz w:val="18"/>
                <w:szCs w:val="18"/>
              </w:rPr>
            </w:pPr>
            <w:r>
              <w:rPr>
                <w:rFonts w:hint="eastAsia"/>
                <w:sz w:val="18"/>
                <w:szCs w:val="18"/>
              </w:rPr>
              <w:t>水枪</w:t>
            </w:r>
          </w:p>
        </w:tc>
        <w:tc>
          <w:tcPr>
            <w:tcW w:w="832" w:type="dxa"/>
          </w:tcPr>
          <w:p>
            <w:pPr>
              <w:snapToGrid w:val="0"/>
              <w:spacing w:line="360" w:lineRule="auto"/>
              <w:rPr>
                <w:sz w:val="18"/>
                <w:szCs w:val="18"/>
              </w:rPr>
            </w:pPr>
            <w:r>
              <w:rPr>
                <w:rFonts w:hint="eastAsia"/>
                <w:sz w:val="18"/>
                <w:szCs w:val="18"/>
              </w:rPr>
              <w:t>灭火器</w:t>
            </w:r>
          </w:p>
        </w:tc>
        <w:tc>
          <w:tcPr>
            <w:tcW w:w="945" w:type="dxa"/>
          </w:tcPr>
          <w:p>
            <w:pPr>
              <w:widowControl/>
              <w:snapToGrid w:val="0"/>
              <w:jc w:val="left"/>
              <w:rPr>
                <w:sz w:val="18"/>
                <w:szCs w:val="18"/>
              </w:rPr>
            </w:pPr>
            <w:r>
              <w:rPr>
                <w:rFonts w:hint="eastAsia" w:ascii="宋体" w:hAnsi="宋体" w:cs="宋体"/>
                <w:kern w:val="0"/>
                <w:sz w:val="18"/>
                <w:szCs w:val="18"/>
                <w:lang w:bidi="ar"/>
              </w:rPr>
              <w:t>人员配 备数量</w:t>
            </w:r>
          </w:p>
        </w:tc>
        <w:tc>
          <w:tcPr>
            <w:tcW w:w="1329" w:type="dxa"/>
          </w:tcPr>
          <w:p>
            <w:pPr>
              <w:widowControl/>
              <w:snapToGrid w:val="0"/>
              <w:jc w:val="left"/>
              <w:rPr>
                <w:sz w:val="18"/>
                <w:szCs w:val="18"/>
              </w:rPr>
            </w:pPr>
            <w:r>
              <w:rPr>
                <w:rFonts w:hint="eastAsia" w:ascii="宋体" w:hAnsi="宋体" w:cs="宋体"/>
                <w:kern w:val="0"/>
                <w:sz w:val="18"/>
                <w:szCs w:val="18"/>
                <w:lang w:bidi="ar"/>
              </w:rPr>
              <w:t>消防员配套装备</w:t>
            </w:r>
          </w:p>
        </w:tc>
        <w:tc>
          <w:tcPr>
            <w:tcW w:w="947" w:type="dxa"/>
          </w:tcPr>
          <w:p>
            <w:pPr>
              <w:widowControl/>
              <w:snapToGrid w:val="0"/>
              <w:jc w:val="left"/>
              <w:rPr>
                <w:sz w:val="18"/>
                <w:szCs w:val="18"/>
              </w:rPr>
            </w:pPr>
            <w:r>
              <w:rPr>
                <w:rFonts w:hint="eastAsia" w:ascii="宋体" w:hAnsi="宋体" w:cs="宋体"/>
                <w:kern w:val="0"/>
                <w:sz w:val="18"/>
                <w:szCs w:val="18"/>
                <w:lang w:bidi="ar"/>
              </w:rPr>
              <w:t>其他移动灭火装备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snapToGrid w:val="0"/>
              <w:spacing w:line="360" w:lineRule="auto"/>
              <w:rPr>
                <w:sz w:val="15"/>
                <w:szCs w:val="15"/>
              </w:rPr>
            </w:pPr>
            <w:r>
              <w:rPr>
                <w:rFonts w:hint="eastAsia"/>
                <w:sz w:val="15"/>
                <w:szCs w:val="15"/>
              </w:rPr>
              <w:t>1辆</w:t>
            </w:r>
          </w:p>
        </w:tc>
        <w:tc>
          <w:tcPr>
            <w:tcW w:w="947" w:type="dxa"/>
          </w:tcPr>
          <w:p>
            <w:pPr>
              <w:snapToGrid w:val="0"/>
              <w:spacing w:line="360" w:lineRule="auto"/>
              <w:rPr>
                <w:sz w:val="15"/>
                <w:szCs w:val="15"/>
              </w:rPr>
            </w:pPr>
            <w:r>
              <w:rPr>
                <w:rFonts w:hint="eastAsia"/>
                <w:sz w:val="15"/>
                <w:szCs w:val="15"/>
              </w:rPr>
              <w:t>2套</w:t>
            </w:r>
          </w:p>
        </w:tc>
        <w:tc>
          <w:tcPr>
            <w:tcW w:w="947" w:type="dxa"/>
          </w:tcPr>
          <w:p>
            <w:pPr>
              <w:snapToGrid w:val="0"/>
              <w:spacing w:line="360" w:lineRule="auto"/>
              <w:rPr>
                <w:sz w:val="15"/>
                <w:szCs w:val="15"/>
              </w:rPr>
            </w:pPr>
            <w:r>
              <w:rPr>
                <w:rFonts w:hint="eastAsia"/>
                <w:sz w:val="15"/>
                <w:szCs w:val="15"/>
              </w:rPr>
              <w:t>2个</w:t>
            </w:r>
          </w:p>
        </w:tc>
        <w:tc>
          <w:tcPr>
            <w:tcW w:w="947" w:type="dxa"/>
          </w:tcPr>
          <w:p>
            <w:pPr>
              <w:snapToGrid w:val="0"/>
              <w:spacing w:line="360" w:lineRule="auto"/>
              <w:rPr>
                <w:sz w:val="15"/>
                <w:szCs w:val="15"/>
              </w:rPr>
            </w:pPr>
            <w:r>
              <w:rPr>
                <w:rFonts w:hint="eastAsia"/>
                <w:sz w:val="15"/>
                <w:szCs w:val="15"/>
              </w:rPr>
              <w:t>50-150 m</w:t>
            </w:r>
          </w:p>
        </w:tc>
        <w:tc>
          <w:tcPr>
            <w:tcW w:w="682" w:type="dxa"/>
          </w:tcPr>
          <w:p>
            <w:pPr>
              <w:snapToGrid w:val="0"/>
              <w:spacing w:line="360" w:lineRule="auto"/>
              <w:rPr>
                <w:sz w:val="15"/>
                <w:szCs w:val="15"/>
              </w:rPr>
            </w:pPr>
            <w:r>
              <w:rPr>
                <w:rFonts w:hint="eastAsia"/>
                <w:sz w:val="15"/>
                <w:szCs w:val="15"/>
              </w:rPr>
              <w:t>2套</w:t>
            </w:r>
          </w:p>
        </w:tc>
        <w:tc>
          <w:tcPr>
            <w:tcW w:w="832" w:type="dxa"/>
          </w:tcPr>
          <w:p>
            <w:pPr>
              <w:snapToGrid w:val="0"/>
              <w:spacing w:line="360" w:lineRule="auto"/>
              <w:rPr>
                <w:sz w:val="15"/>
                <w:szCs w:val="15"/>
              </w:rPr>
            </w:pPr>
            <w:r>
              <w:rPr>
                <w:rFonts w:hint="eastAsia"/>
                <w:sz w:val="15"/>
                <w:szCs w:val="15"/>
              </w:rPr>
              <w:t>6具</w:t>
            </w:r>
          </w:p>
        </w:tc>
        <w:tc>
          <w:tcPr>
            <w:tcW w:w="945" w:type="dxa"/>
          </w:tcPr>
          <w:p>
            <w:pPr>
              <w:snapToGrid w:val="0"/>
              <w:spacing w:line="360" w:lineRule="auto"/>
              <w:rPr>
                <w:sz w:val="15"/>
                <w:szCs w:val="15"/>
              </w:rPr>
            </w:pPr>
            <w:r>
              <w:rPr>
                <w:rFonts w:hint="eastAsia"/>
                <w:sz w:val="15"/>
                <w:szCs w:val="15"/>
              </w:rPr>
              <w:t>6人</w:t>
            </w:r>
          </w:p>
        </w:tc>
        <w:tc>
          <w:tcPr>
            <w:tcW w:w="1329" w:type="dxa"/>
          </w:tcPr>
          <w:p>
            <w:pPr>
              <w:widowControl/>
              <w:snapToGrid w:val="0"/>
              <w:jc w:val="left"/>
              <w:rPr>
                <w:sz w:val="15"/>
                <w:szCs w:val="15"/>
              </w:rPr>
            </w:pPr>
            <w:r>
              <w:rPr>
                <w:rFonts w:hint="eastAsia" w:ascii="宋体" w:hAnsi="宋体" w:cs="宋体"/>
                <w:kern w:val="0"/>
                <w:sz w:val="15"/>
                <w:szCs w:val="15"/>
                <w:lang w:bidi="ar"/>
              </w:rPr>
              <w:t xml:space="preserve">手持移动式对讲 </w:t>
            </w:r>
          </w:p>
          <w:p>
            <w:pPr>
              <w:widowControl/>
              <w:snapToGrid w:val="0"/>
              <w:jc w:val="left"/>
              <w:rPr>
                <w:sz w:val="15"/>
                <w:szCs w:val="15"/>
              </w:rPr>
            </w:pPr>
            <w:r>
              <w:rPr>
                <w:rFonts w:hint="eastAsia" w:ascii="宋体" w:hAnsi="宋体" w:cs="宋体"/>
                <w:kern w:val="0"/>
                <w:sz w:val="15"/>
                <w:szCs w:val="15"/>
                <w:lang w:bidi="ar"/>
              </w:rPr>
              <w:t>机、呼吸器、头盔、面罩、防护服等</w:t>
            </w:r>
          </w:p>
        </w:tc>
        <w:tc>
          <w:tcPr>
            <w:tcW w:w="947" w:type="dxa"/>
          </w:tcPr>
          <w:p>
            <w:pPr>
              <w:widowControl/>
              <w:snapToGrid w:val="0"/>
              <w:jc w:val="left"/>
              <w:rPr>
                <w:sz w:val="15"/>
                <w:szCs w:val="15"/>
              </w:rPr>
            </w:pPr>
            <w:r>
              <w:rPr>
                <w:rFonts w:hint="eastAsia" w:ascii="宋体" w:hAnsi="宋体" w:cs="宋体"/>
                <w:kern w:val="0"/>
                <w:sz w:val="15"/>
                <w:szCs w:val="15"/>
                <w:lang w:bidi="ar"/>
              </w:rPr>
              <w:t>消火栓扳手</w:t>
            </w:r>
          </w:p>
          <w:p>
            <w:pPr>
              <w:snapToGrid w:val="0"/>
              <w:spacing w:line="360" w:lineRule="auto"/>
              <w:rPr>
                <w:sz w:val="15"/>
                <w:szCs w:val="15"/>
              </w:rPr>
            </w:pPr>
          </w:p>
        </w:tc>
      </w:tr>
    </w:tbl>
    <w:p>
      <w:pPr>
        <w:spacing w:line="360" w:lineRule="auto"/>
        <w:jc w:val="center"/>
        <w:rPr>
          <w:b/>
          <w:bCs/>
        </w:rPr>
      </w:pPr>
      <w:r>
        <w:rPr>
          <w:rFonts w:hint="eastAsia"/>
          <w:b/>
          <w:bCs/>
        </w:rPr>
        <w:t>表6.1.3b消防点人员、装备配置要求</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5"/>
        <w:gridCol w:w="1065"/>
        <w:gridCol w:w="1065"/>
        <w:gridCol w:w="1065"/>
        <w:gridCol w:w="1065"/>
        <w:gridCol w:w="899"/>
        <w:gridCol w:w="1232"/>
        <w:gridCol w:w="1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tcPr>
          <w:p>
            <w:pPr>
              <w:widowControl/>
              <w:jc w:val="center"/>
            </w:pPr>
            <w:r>
              <w:rPr>
                <w:rFonts w:hint="eastAsia" w:ascii="宋体" w:hAnsi="宋体" w:cs="宋体"/>
                <w:kern w:val="0"/>
                <w:sz w:val="18"/>
                <w:szCs w:val="18"/>
                <w:lang w:bidi="ar"/>
              </w:rPr>
              <w:t>手抬机动消防泵</w:t>
            </w:r>
          </w:p>
        </w:tc>
        <w:tc>
          <w:tcPr>
            <w:tcW w:w="1065" w:type="dxa"/>
          </w:tcPr>
          <w:p>
            <w:pPr>
              <w:widowControl/>
              <w:jc w:val="center"/>
            </w:pPr>
            <w:r>
              <w:rPr>
                <w:rFonts w:hint="eastAsia" w:ascii="宋体" w:hAnsi="宋体" w:cs="宋体"/>
                <w:kern w:val="0"/>
                <w:sz w:val="18"/>
                <w:szCs w:val="18"/>
                <w:lang w:bidi="ar"/>
              </w:rPr>
              <w:t>移动式水带卷盘</w:t>
            </w:r>
          </w:p>
        </w:tc>
        <w:tc>
          <w:tcPr>
            <w:tcW w:w="1065" w:type="dxa"/>
          </w:tcPr>
          <w:p>
            <w:pPr>
              <w:widowControl/>
              <w:jc w:val="center"/>
            </w:pPr>
            <w:r>
              <w:rPr>
                <w:rFonts w:hint="eastAsia" w:ascii="宋体" w:hAnsi="宋体" w:cs="宋体"/>
                <w:kern w:val="0"/>
                <w:sz w:val="18"/>
                <w:szCs w:val="18"/>
                <w:lang w:bidi="ar"/>
              </w:rPr>
              <w:t>水带</w:t>
            </w:r>
          </w:p>
        </w:tc>
        <w:tc>
          <w:tcPr>
            <w:tcW w:w="1065" w:type="dxa"/>
          </w:tcPr>
          <w:p>
            <w:pPr>
              <w:spacing w:line="360" w:lineRule="auto"/>
              <w:jc w:val="center"/>
            </w:pPr>
            <w:r>
              <w:rPr>
                <w:rFonts w:hint="eastAsia"/>
                <w:sz w:val="18"/>
                <w:szCs w:val="18"/>
              </w:rPr>
              <w:t>水枪</w:t>
            </w:r>
          </w:p>
        </w:tc>
        <w:tc>
          <w:tcPr>
            <w:tcW w:w="1065" w:type="dxa"/>
          </w:tcPr>
          <w:p>
            <w:pPr>
              <w:spacing w:line="360" w:lineRule="auto"/>
              <w:jc w:val="center"/>
            </w:pPr>
            <w:r>
              <w:rPr>
                <w:rFonts w:hint="eastAsia"/>
                <w:sz w:val="18"/>
                <w:szCs w:val="18"/>
              </w:rPr>
              <w:t>灭火器</w:t>
            </w:r>
          </w:p>
        </w:tc>
        <w:tc>
          <w:tcPr>
            <w:tcW w:w="899" w:type="dxa"/>
          </w:tcPr>
          <w:p>
            <w:pPr>
              <w:widowControl/>
              <w:jc w:val="center"/>
            </w:pPr>
            <w:r>
              <w:rPr>
                <w:rFonts w:hint="eastAsia" w:ascii="宋体" w:hAnsi="宋体" w:cs="宋体"/>
                <w:kern w:val="0"/>
                <w:sz w:val="18"/>
                <w:szCs w:val="18"/>
                <w:lang w:bidi="ar"/>
              </w:rPr>
              <w:t>人员配备数量</w:t>
            </w:r>
          </w:p>
        </w:tc>
        <w:tc>
          <w:tcPr>
            <w:tcW w:w="1232" w:type="dxa"/>
          </w:tcPr>
          <w:p>
            <w:pPr>
              <w:widowControl/>
              <w:jc w:val="center"/>
            </w:pPr>
            <w:r>
              <w:rPr>
                <w:rFonts w:hint="eastAsia" w:ascii="宋体" w:hAnsi="宋体" w:cs="宋体"/>
                <w:kern w:val="0"/>
                <w:sz w:val="18"/>
                <w:szCs w:val="18"/>
                <w:lang w:bidi="ar"/>
              </w:rPr>
              <w:t>消防员配套装备</w:t>
            </w:r>
          </w:p>
        </w:tc>
        <w:tc>
          <w:tcPr>
            <w:tcW w:w="1066" w:type="dxa"/>
          </w:tcPr>
          <w:p>
            <w:pPr>
              <w:widowControl/>
              <w:jc w:val="center"/>
            </w:pPr>
            <w:r>
              <w:rPr>
                <w:rFonts w:hint="eastAsia" w:ascii="宋体" w:hAnsi="宋体" w:cs="宋体"/>
                <w:kern w:val="0"/>
                <w:sz w:val="18"/>
                <w:szCs w:val="18"/>
                <w:lang w:bidi="ar"/>
              </w:rPr>
              <w:t>其他移动灭火装备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tcPr>
          <w:p>
            <w:pPr>
              <w:snapToGrid w:val="0"/>
              <w:spacing w:line="360" w:lineRule="auto"/>
            </w:pPr>
            <w:r>
              <w:rPr>
                <w:rFonts w:hint="eastAsia"/>
                <w:sz w:val="15"/>
                <w:szCs w:val="15"/>
              </w:rPr>
              <w:t>1套</w:t>
            </w:r>
          </w:p>
        </w:tc>
        <w:tc>
          <w:tcPr>
            <w:tcW w:w="1065" w:type="dxa"/>
          </w:tcPr>
          <w:p>
            <w:pPr>
              <w:snapToGrid w:val="0"/>
              <w:spacing w:line="360" w:lineRule="auto"/>
            </w:pPr>
            <w:r>
              <w:rPr>
                <w:rFonts w:hint="eastAsia"/>
                <w:sz w:val="15"/>
                <w:szCs w:val="15"/>
              </w:rPr>
              <w:t>2个</w:t>
            </w:r>
          </w:p>
        </w:tc>
        <w:tc>
          <w:tcPr>
            <w:tcW w:w="1065" w:type="dxa"/>
          </w:tcPr>
          <w:p>
            <w:pPr>
              <w:snapToGrid w:val="0"/>
              <w:spacing w:line="360" w:lineRule="auto"/>
            </w:pPr>
            <w:r>
              <w:rPr>
                <w:rFonts w:hint="eastAsia"/>
                <w:sz w:val="15"/>
                <w:szCs w:val="15"/>
              </w:rPr>
              <w:t>50-150 m</w:t>
            </w:r>
          </w:p>
        </w:tc>
        <w:tc>
          <w:tcPr>
            <w:tcW w:w="1065" w:type="dxa"/>
          </w:tcPr>
          <w:p>
            <w:pPr>
              <w:snapToGrid w:val="0"/>
              <w:spacing w:line="360" w:lineRule="auto"/>
            </w:pPr>
            <w:r>
              <w:rPr>
                <w:rFonts w:hint="eastAsia"/>
                <w:sz w:val="15"/>
                <w:szCs w:val="15"/>
              </w:rPr>
              <w:t>2套</w:t>
            </w:r>
          </w:p>
        </w:tc>
        <w:tc>
          <w:tcPr>
            <w:tcW w:w="1065" w:type="dxa"/>
          </w:tcPr>
          <w:p>
            <w:pPr>
              <w:snapToGrid w:val="0"/>
              <w:spacing w:line="360" w:lineRule="auto"/>
            </w:pPr>
            <w:r>
              <w:rPr>
                <w:rFonts w:hint="eastAsia"/>
                <w:sz w:val="15"/>
                <w:szCs w:val="15"/>
              </w:rPr>
              <w:t>6具</w:t>
            </w:r>
          </w:p>
        </w:tc>
        <w:tc>
          <w:tcPr>
            <w:tcW w:w="899" w:type="dxa"/>
          </w:tcPr>
          <w:p>
            <w:pPr>
              <w:snapToGrid w:val="0"/>
              <w:spacing w:line="360" w:lineRule="auto"/>
            </w:pPr>
            <w:r>
              <w:rPr>
                <w:rFonts w:hint="eastAsia"/>
                <w:sz w:val="15"/>
                <w:szCs w:val="15"/>
              </w:rPr>
              <w:t>2人</w:t>
            </w:r>
          </w:p>
        </w:tc>
        <w:tc>
          <w:tcPr>
            <w:tcW w:w="1232" w:type="dxa"/>
          </w:tcPr>
          <w:p>
            <w:pPr>
              <w:widowControl/>
              <w:snapToGrid w:val="0"/>
              <w:jc w:val="left"/>
            </w:pPr>
            <w:r>
              <w:rPr>
                <w:rFonts w:hint="eastAsia" w:ascii="宋体" w:hAnsi="宋体" w:cs="宋体"/>
                <w:kern w:val="0"/>
                <w:sz w:val="15"/>
                <w:szCs w:val="15"/>
                <w:lang w:bidi="ar"/>
              </w:rPr>
              <w:t>手持移动式对讲机、呼吸器、头盔、面罩、防护服等</w:t>
            </w:r>
          </w:p>
        </w:tc>
        <w:tc>
          <w:tcPr>
            <w:tcW w:w="1066" w:type="dxa"/>
          </w:tcPr>
          <w:p>
            <w:pPr>
              <w:widowControl/>
              <w:snapToGrid w:val="0"/>
              <w:jc w:val="left"/>
              <w:rPr>
                <w:sz w:val="15"/>
                <w:szCs w:val="15"/>
              </w:rPr>
            </w:pPr>
            <w:r>
              <w:rPr>
                <w:rFonts w:hint="eastAsia" w:ascii="宋体" w:hAnsi="宋体" w:cs="宋体"/>
                <w:kern w:val="0"/>
                <w:sz w:val="15"/>
                <w:szCs w:val="15"/>
                <w:lang w:bidi="ar"/>
              </w:rPr>
              <w:t>消火栓扳手</w:t>
            </w:r>
          </w:p>
          <w:p>
            <w:pPr>
              <w:snapToGrid w:val="0"/>
              <w:spacing w:line="360" w:lineRule="auto"/>
            </w:pPr>
          </w:p>
        </w:tc>
      </w:tr>
    </w:tbl>
    <w:p>
      <w:pPr>
        <w:spacing w:line="360" w:lineRule="auto"/>
        <w:rPr>
          <w:b/>
          <w:sz w:val="28"/>
          <w:szCs w:val="28"/>
        </w:rPr>
      </w:pPr>
    </w:p>
    <w:p>
      <w:pPr>
        <w:pStyle w:val="3"/>
        <w:rPr>
          <w:sz w:val="30"/>
          <w:szCs w:val="30"/>
        </w:rPr>
      </w:pPr>
      <w:bookmarkStart w:id="10" w:name="_Toc26205"/>
      <w:r>
        <w:rPr>
          <w:rFonts w:hint="eastAsia"/>
          <w:sz w:val="30"/>
          <w:szCs w:val="30"/>
        </w:rPr>
        <w:t>6.2 消防给水及消火栓系统</w:t>
      </w:r>
      <w:bookmarkEnd w:id="10"/>
    </w:p>
    <w:p>
      <w:pPr>
        <w:spacing w:line="360" w:lineRule="auto"/>
        <w:rPr>
          <w:sz w:val="24"/>
        </w:rPr>
      </w:pPr>
      <w:r>
        <w:rPr>
          <w:rFonts w:hint="eastAsia"/>
          <w:sz w:val="24"/>
        </w:rPr>
        <w:t>6.2.1古城内消防水源可由给水管网、天然水源或消防水池供给，当消防给水系统与生产、生活给水系统合用时，应采取保障消防供水的技术措施。</w:t>
      </w:r>
    </w:p>
    <w:p>
      <w:pPr>
        <w:spacing w:line="360" w:lineRule="auto"/>
        <w:rPr>
          <w:sz w:val="24"/>
        </w:rPr>
      </w:pPr>
      <w:r>
        <w:rPr>
          <w:rFonts w:hint="eastAsia"/>
          <w:sz w:val="24"/>
        </w:rPr>
        <w:t>6.2.2 消防给水管道和消火栓的设置除应满足《消防给水及消火栓系统技术规范》GB50974-2014的要求外，结合丽江古城消防需求，尚应满足如下要求：</w:t>
      </w:r>
    </w:p>
    <w:p>
      <w:pPr>
        <w:spacing w:line="360" w:lineRule="auto"/>
        <w:ind w:firstLine="420" w:firstLineChars="175"/>
        <w:rPr>
          <w:sz w:val="24"/>
        </w:rPr>
      </w:pPr>
      <w:r>
        <w:rPr>
          <w:rFonts w:hint="eastAsia"/>
          <w:sz w:val="24"/>
        </w:rPr>
        <w:t>1 处于高蔓延风险区和极高蔓延风险区的市政消火栓，市政消火栓栓口的压力不应低于0.3MPa；处于中低蔓延风险区域的市政消火栓，栓口压力不应低于0.14MPa，最不利点工作压力不小于0.1MPa；</w:t>
      </w:r>
    </w:p>
    <w:p>
      <w:pPr>
        <w:spacing w:line="360" w:lineRule="auto"/>
        <w:ind w:left="8" w:firstLine="410" w:firstLineChars="171"/>
        <w:rPr>
          <w:sz w:val="24"/>
        </w:rPr>
      </w:pPr>
      <w:r>
        <w:rPr>
          <w:rFonts w:hint="eastAsia"/>
          <w:sz w:val="24"/>
        </w:rPr>
        <w:t>2 各区域消火栓栓口动压力不应大于0.50MPa，当大于0.70MPa时必须设置减压装置；</w:t>
      </w:r>
    </w:p>
    <w:p>
      <w:pPr>
        <w:spacing w:line="360" w:lineRule="auto"/>
        <w:ind w:left="8" w:firstLine="410" w:firstLineChars="171"/>
        <w:rPr>
          <w:sz w:val="24"/>
        </w:rPr>
      </w:pPr>
      <w:r>
        <w:rPr>
          <w:rFonts w:hint="eastAsia"/>
          <w:sz w:val="24"/>
        </w:rPr>
        <w:t>3 简易自动喷水灭火系统接入市政管网处的入口处压力不宜低于0.3MPa，且不宜超过0.4MPa。</w:t>
      </w:r>
    </w:p>
    <w:p>
      <w:pPr>
        <w:spacing w:line="360" w:lineRule="auto"/>
        <w:rPr>
          <w:sz w:val="24"/>
        </w:rPr>
      </w:pPr>
      <w:r>
        <w:rPr>
          <w:rFonts w:hint="eastAsia"/>
          <w:sz w:val="24"/>
        </w:rPr>
        <w:t>6.2.3 古城内使用河道、水窖、水缸等天然水源作为消防水源时，应符合下列要求：</w:t>
      </w:r>
    </w:p>
    <w:p>
      <w:pPr>
        <w:spacing w:line="360" w:lineRule="auto"/>
        <w:rPr>
          <w:sz w:val="24"/>
        </w:rPr>
      </w:pPr>
      <w:r>
        <w:rPr>
          <w:rFonts w:hint="eastAsia"/>
          <w:sz w:val="24"/>
        </w:rPr>
        <w:t>    1 能保证枯水期和冬季的消防用水；</w:t>
      </w:r>
    </w:p>
    <w:p>
      <w:pPr>
        <w:spacing w:line="360" w:lineRule="auto"/>
        <w:rPr>
          <w:sz w:val="24"/>
        </w:rPr>
      </w:pPr>
      <w:r>
        <w:rPr>
          <w:rFonts w:hint="eastAsia"/>
          <w:sz w:val="24"/>
        </w:rPr>
        <w:t>    2 应防止被可燃液体污染；</w:t>
      </w:r>
    </w:p>
    <w:p>
      <w:pPr>
        <w:spacing w:line="360" w:lineRule="auto"/>
        <w:rPr>
          <w:sz w:val="24"/>
        </w:rPr>
      </w:pPr>
      <w:r>
        <w:rPr>
          <w:rFonts w:hint="eastAsia"/>
          <w:sz w:val="24"/>
        </w:rPr>
        <w:t>    3 有取水码头及通向取水码头的消防车道；</w:t>
      </w:r>
    </w:p>
    <w:p>
      <w:pPr>
        <w:spacing w:line="360" w:lineRule="auto"/>
        <w:rPr>
          <w:sz w:val="24"/>
        </w:rPr>
      </w:pPr>
      <w:r>
        <w:rPr>
          <w:rFonts w:hint="eastAsia"/>
          <w:sz w:val="24"/>
        </w:rPr>
        <w:t>    4 供消防车取水的天然水源，最低水位时吸水高度不应超过6.0m。</w:t>
      </w:r>
    </w:p>
    <w:p>
      <w:pPr>
        <w:spacing w:line="360" w:lineRule="auto"/>
        <w:rPr>
          <w:sz w:val="24"/>
        </w:rPr>
      </w:pPr>
      <w:r>
        <w:rPr>
          <w:rFonts w:hint="eastAsia"/>
          <w:sz w:val="24"/>
        </w:rPr>
        <w:t>6.2.4 丽江古城应加强对消防给水及消火栓系统的维护保养，确保古城消防给水系统正常运行。对消防给水及消火栓系统的管理、检查检测、维护保养应符合《消防给水及消火栓系统技术规范》GB50974-2014的相关要求。</w:t>
      </w:r>
    </w:p>
    <w:p>
      <w:pPr>
        <w:rPr>
          <w:sz w:val="24"/>
        </w:rPr>
      </w:pPr>
      <w:r>
        <w:rPr>
          <w:sz w:val="24"/>
        </w:rPr>
        <w:br w:type="page"/>
      </w:r>
    </w:p>
    <w:p>
      <w:pPr>
        <w:pStyle w:val="2"/>
        <w:jc w:val="center"/>
        <w:rPr>
          <w:sz w:val="32"/>
          <w:szCs w:val="32"/>
        </w:rPr>
      </w:pPr>
      <w:bookmarkStart w:id="11" w:name="_Toc4529"/>
      <w:r>
        <w:rPr>
          <w:rFonts w:hint="eastAsia"/>
          <w:sz w:val="32"/>
          <w:szCs w:val="32"/>
        </w:rPr>
        <w:t>7 火灾危险源控制</w:t>
      </w:r>
      <w:bookmarkEnd w:id="11"/>
    </w:p>
    <w:p>
      <w:pPr>
        <w:pStyle w:val="3"/>
        <w:rPr>
          <w:sz w:val="30"/>
          <w:szCs w:val="30"/>
        </w:rPr>
      </w:pPr>
      <w:bookmarkStart w:id="12" w:name="_Toc7161"/>
      <w:r>
        <w:rPr>
          <w:rFonts w:hint="eastAsia"/>
          <w:sz w:val="30"/>
          <w:szCs w:val="30"/>
        </w:rPr>
        <w:t>7.1 用火</w:t>
      </w:r>
      <w:bookmarkEnd w:id="12"/>
    </w:p>
    <w:p>
      <w:pPr>
        <w:spacing w:line="360" w:lineRule="auto"/>
        <w:rPr>
          <w:sz w:val="24"/>
        </w:rPr>
      </w:pPr>
      <w:r>
        <w:rPr>
          <w:rFonts w:hint="eastAsia"/>
          <w:sz w:val="24"/>
        </w:rPr>
        <w:t>7.1.1 古城内严禁燃放烟花爆竹，除厨房外严禁使用明火。</w:t>
      </w:r>
    </w:p>
    <w:p>
      <w:pPr>
        <w:spacing w:line="360" w:lineRule="auto"/>
        <w:rPr>
          <w:sz w:val="24"/>
        </w:rPr>
      </w:pPr>
      <w:r>
        <w:rPr>
          <w:rFonts w:hint="eastAsia"/>
          <w:sz w:val="24"/>
        </w:rPr>
        <w:t>7.1.2设置在建筑内的厨房应满足如下要求：</w:t>
      </w:r>
    </w:p>
    <w:p>
      <w:pPr>
        <w:spacing w:line="360" w:lineRule="auto"/>
        <w:ind w:firstLine="420" w:firstLineChars="175"/>
        <w:rPr>
          <w:sz w:val="24"/>
        </w:rPr>
      </w:pPr>
      <w:r>
        <w:rPr>
          <w:rFonts w:hint="eastAsia"/>
          <w:sz w:val="24"/>
        </w:rPr>
        <w:t>1 靠外墙设置；</w:t>
      </w:r>
    </w:p>
    <w:p>
      <w:pPr>
        <w:spacing w:line="360" w:lineRule="auto"/>
        <w:ind w:firstLine="400" w:firstLineChars="250"/>
        <w:rPr>
          <w:sz w:val="24"/>
        </w:rPr>
      </w:pPr>
      <w:r>
        <w:rPr>
          <w:rFonts w:hint="eastAsia" w:ascii="微软雅黑" w:hAnsi="微软雅黑" w:eastAsia="微软雅黑" w:cs="微软雅黑"/>
          <w:sz w:val="16"/>
          <w:szCs w:val="16"/>
          <w:shd w:val="clear" w:color="auto" w:fill="FFFFFF"/>
        </w:rPr>
        <w:t> </w:t>
      </w:r>
      <w:r>
        <w:rPr>
          <w:rFonts w:hint="eastAsia"/>
          <w:sz w:val="24"/>
        </w:rPr>
        <w:t>2 与建筑的其它部分采用耐火极限不小于2h的不燃烧墙体分隔，墙体上的门窗，除居住建筑外，应使用乙级防火门窗；</w:t>
      </w:r>
    </w:p>
    <w:p>
      <w:pPr>
        <w:spacing w:line="360" w:lineRule="auto"/>
        <w:ind w:firstLine="420" w:firstLineChars="175"/>
        <w:rPr>
          <w:sz w:val="24"/>
        </w:rPr>
      </w:pPr>
      <w:r>
        <w:rPr>
          <w:rFonts w:hint="eastAsia"/>
          <w:sz w:val="24"/>
        </w:rPr>
        <w:t>3 顶棚和屋面采用不燃或难燃材料。</w:t>
      </w:r>
    </w:p>
    <w:p>
      <w:pPr>
        <w:spacing w:line="360" w:lineRule="auto"/>
        <w:rPr>
          <w:sz w:val="24"/>
        </w:rPr>
      </w:pPr>
      <w:r>
        <w:rPr>
          <w:rFonts w:hint="eastAsia"/>
          <w:sz w:val="24"/>
        </w:rPr>
        <w:t>7.1.3 用于采暖和炊事的烟道、烟囱、管道的设置应满足如下要求：</w:t>
      </w:r>
    </w:p>
    <w:p>
      <w:pPr>
        <w:spacing w:line="360" w:lineRule="auto"/>
        <w:ind w:firstLine="420" w:firstLineChars="175"/>
        <w:rPr>
          <w:sz w:val="24"/>
        </w:rPr>
      </w:pPr>
      <w:r>
        <w:rPr>
          <w:rFonts w:hint="eastAsia"/>
          <w:sz w:val="24"/>
        </w:rPr>
        <w:t>1 应采用不燃材料制作；</w:t>
      </w:r>
    </w:p>
    <w:p>
      <w:pPr>
        <w:spacing w:line="360" w:lineRule="auto"/>
        <w:ind w:firstLine="420" w:firstLineChars="175"/>
        <w:rPr>
          <w:sz w:val="24"/>
        </w:rPr>
      </w:pPr>
      <w:r>
        <w:rPr>
          <w:rFonts w:hint="eastAsia"/>
          <w:sz w:val="24"/>
        </w:rPr>
        <w:t>2 与相邻可燃物、木构建之间贴临部位厚度不少与240mm；</w:t>
      </w:r>
    </w:p>
    <w:p>
      <w:pPr>
        <w:spacing w:line="360" w:lineRule="auto"/>
        <w:ind w:firstLine="420" w:firstLineChars="175"/>
        <w:rPr>
          <w:sz w:val="24"/>
        </w:rPr>
      </w:pPr>
      <w:r>
        <w:rPr>
          <w:rFonts w:hint="eastAsia"/>
          <w:sz w:val="24"/>
        </w:rPr>
        <w:t>3 烟囱穿过屋顶时，排烟口应高出屋面不小于500mm；烟道直接在外墙上开设排烟口时，外墙应为不燃烧体且排烟口应突出外墙至少250mm；</w:t>
      </w:r>
    </w:p>
    <w:p>
      <w:pPr>
        <w:spacing w:line="360" w:lineRule="auto"/>
        <w:ind w:firstLine="420" w:firstLineChars="175"/>
        <w:rPr>
          <w:sz w:val="24"/>
        </w:rPr>
      </w:pPr>
      <w:r>
        <w:rPr>
          <w:rFonts w:hint="eastAsia"/>
          <w:sz w:val="24"/>
        </w:rPr>
        <w:t>4 建筑的烟囱上应采取防止火星外逸的有效措施。</w:t>
      </w:r>
    </w:p>
    <w:p>
      <w:pPr>
        <w:spacing w:line="360" w:lineRule="auto"/>
        <w:rPr>
          <w:sz w:val="24"/>
        </w:rPr>
      </w:pPr>
      <w:r>
        <w:rPr>
          <w:rFonts w:hint="eastAsia"/>
          <w:sz w:val="24"/>
        </w:rPr>
        <w:t>7.1.4燃煤、燃柴炉灶周围1.0m范围内不应堆放柴草等可燃物。</w:t>
      </w:r>
    </w:p>
    <w:p>
      <w:pPr>
        <w:spacing w:line="360" w:lineRule="auto"/>
        <w:rPr>
          <w:sz w:val="24"/>
        </w:rPr>
      </w:pPr>
      <w:r>
        <w:rPr>
          <w:rFonts w:hint="eastAsia"/>
          <w:sz w:val="24"/>
        </w:rPr>
        <w:t>7.1.5 燃气灶具的设置应符合下列要求：</w:t>
      </w:r>
    </w:p>
    <w:p>
      <w:pPr>
        <w:spacing w:line="360" w:lineRule="auto"/>
        <w:rPr>
          <w:sz w:val="24"/>
        </w:rPr>
      </w:pPr>
      <w:r>
        <w:rPr>
          <w:rFonts w:hint="eastAsia"/>
          <w:sz w:val="24"/>
        </w:rPr>
        <w:t>    1 燃气灶具宜安装在有自然通风和自然采光的厨房内，并应与卧室分隔；</w:t>
      </w:r>
    </w:p>
    <w:p>
      <w:pPr>
        <w:spacing w:line="360" w:lineRule="auto"/>
        <w:rPr>
          <w:sz w:val="24"/>
        </w:rPr>
      </w:pPr>
      <w:r>
        <w:rPr>
          <w:rFonts w:hint="eastAsia"/>
          <w:sz w:val="24"/>
        </w:rPr>
        <w:t>    2 燃气灶具的灶面边缘和烤箱的侧壁距木质家具的净距离不应小于0.5m，或采取有效的防火隔热措施；</w:t>
      </w:r>
    </w:p>
    <w:p>
      <w:pPr>
        <w:spacing w:line="360" w:lineRule="auto"/>
        <w:rPr>
          <w:sz w:val="24"/>
        </w:rPr>
      </w:pPr>
      <w:r>
        <w:rPr>
          <w:rFonts w:hint="eastAsia"/>
          <w:sz w:val="24"/>
        </w:rPr>
        <w:t>    3 放置燃气灶具的灶台应采用不燃材料或加防火隔热板；</w:t>
      </w:r>
    </w:p>
    <w:p>
      <w:pPr>
        <w:spacing w:line="360" w:lineRule="auto"/>
        <w:rPr>
          <w:sz w:val="24"/>
        </w:rPr>
      </w:pPr>
      <w:r>
        <w:rPr>
          <w:rFonts w:hint="eastAsia"/>
          <w:sz w:val="24"/>
        </w:rPr>
        <w:t>    4 无自然通风的厨房，应选用带自动熄灭保护装置的燃气灶具，并应设置可燃气体探测报警器和与其连锁的自动切断阀和机械通风设施；</w:t>
      </w:r>
    </w:p>
    <w:p>
      <w:pPr>
        <w:spacing w:line="360" w:lineRule="auto"/>
        <w:rPr>
          <w:sz w:val="24"/>
        </w:rPr>
      </w:pPr>
      <w:r>
        <w:rPr>
          <w:rFonts w:hint="eastAsia"/>
          <w:sz w:val="24"/>
        </w:rPr>
        <w:t>    5 燃气灶具与燃气管道的连接胶管应采用耐油燃气专用胶管，长度不应大于2m，安装应牢固，中间不应有接头，且应定期更换。</w:t>
      </w:r>
    </w:p>
    <w:p>
      <w:pPr>
        <w:spacing w:line="360" w:lineRule="auto"/>
        <w:rPr>
          <w:sz w:val="24"/>
        </w:rPr>
      </w:pPr>
      <w:r>
        <w:rPr>
          <w:rFonts w:hint="eastAsia"/>
          <w:sz w:val="24"/>
        </w:rPr>
        <w:t>7.1.6 明火使用完毕后应及时清理余火，余烬与炉灰等宜用水浇灭或处理后倒在安全地带。炉灰宜集中存放于室外相对封闭且避风的地方，应设置不燃材料围挡。</w:t>
      </w:r>
    </w:p>
    <w:p>
      <w:pPr>
        <w:spacing w:line="360" w:lineRule="auto"/>
        <w:rPr>
          <w:sz w:val="24"/>
        </w:rPr>
      </w:pPr>
      <w:r>
        <w:rPr>
          <w:rFonts w:hint="eastAsia"/>
          <w:sz w:val="24"/>
        </w:rPr>
        <w:t>7.1.7使用蜡烛、油灯、蚊香时，应放置在不燃材料的基座上，距周围可燃物的距离不应小于0.5m。</w:t>
      </w:r>
    </w:p>
    <w:p>
      <w:pPr>
        <w:spacing w:line="360" w:lineRule="auto"/>
        <w:rPr>
          <w:sz w:val="24"/>
        </w:rPr>
      </w:pPr>
      <w:r>
        <w:rPr>
          <w:rFonts w:hint="eastAsia"/>
          <w:sz w:val="24"/>
        </w:rPr>
        <w:t>7.1.8 五级及以上大风天气，不得在室外吸烟和动用明火。</w:t>
      </w:r>
    </w:p>
    <w:p>
      <w:pPr>
        <w:pStyle w:val="3"/>
        <w:rPr>
          <w:sz w:val="30"/>
          <w:szCs w:val="30"/>
        </w:rPr>
      </w:pPr>
      <w:bookmarkStart w:id="13" w:name="_Toc16650"/>
      <w:r>
        <w:rPr>
          <w:rFonts w:hint="eastAsia"/>
          <w:sz w:val="30"/>
          <w:szCs w:val="30"/>
        </w:rPr>
        <w:t>7.2 用电</w:t>
      </w:r>
      <w:bookmarkEnd w:id="13"/>
    </w:p>
    <w:p>
      <w:pPr>
        <w:spacing w:line="360" w:lineRule="auto"/>
        <w:rPr>
          <w:rFonts w:eastAsiaTheme="majorEastAsia"/>
          <w:sz w:val="24"/>
          <w:shd w:val="clear" w:color="auto" w:fill="FFFFFF"/>
        </w:rPr>
      </w:pPr>
      <w:r>
        <w:rPr>
          <w:rFonts w:eastAsiaTheme="majorEastAsia"/>
          <w:sz w:val="24"/>
          <w:shd w:val="clear" w:color="auto" w:fill="FFFFFF"/>
        </w:rPr>
        <w:t>7.2.1 电气线路的选型与敷设应符合下列要求：</w:t>
      </w:r>
    </w:p>
    <w:p>
      <w:pPr>
        <w:spacing w:line="360" w:lineRule="auto"/>
        <w:rPr>
          <w:rFonts w:eastAsiaTheme="majorEastAsia"/>
          <w:sz w:val="24"/>
          <w:shd w:val="clear" w:color="auto" w:fill="FFFFFF"/>
        </w:rPr>
      </w:pPr>
      <w:r>
        <w:rPr>
          <w:rFonts w:eastAsiaTheme="majorEastAsia"/>
          <w:sz w:val="24"/>
          <w:shd w:val="clear" w:color="auto" w:fill="FFFFFF"/>
        </w:rPr>
        <w:t>    1 导线的选型应与使用场所的环境条件相适应，其耐压等级、安全载流量和机械强度等应满足相关规范要求；</w:t>
      </w:r>
    </w:p>
    <w:p>
      <w:pPr>
        <w:spacing w:line="360" w:lineRule="auto"/>
        <w:rPr>
          <w:rFonts w:eastAsiaTheme="majorEastAsia"/>
          <w:sz w:val="24"/>
          <w:shd w:val="clear" w:color="auto" w:fill="FFFFFF"/>
        </w:rPr>
      </w:pPr>
      <w:r>
        <w:rPr>
          <w:rFonts w:eastAsiaTheme="majorEastAsia"/>
          <w:sz w:val="24"/>
          <w:shd w:val="clear" w:color="auto" w:fill="FFFFFF"/>
        </w:rPr>
        <w:t>    2 室内电气线路的敷设应避开潮湿部位和炉灶、烟囱等高温部位，并不应直接敷设在可燃物上；当必须敷设在可燃物上或在有可燃物的吊顶内敷设时，应穿金属管、阻燃套管保护或采用阻燃电缆；</w:t>
      </w:r>
    </w:p>
    <w:p>
      <w:pPr>
        <w:spacing w:line="360" w:lineRule="auto"/>
        <w:rPr>
          <w:rFonts w:eastAsiaTheme="majorEastAsia"/>
          <w:sz w:val="24"/>
          <w:shd w:val="clear" w:color="auto" w:fill="FFFFFF"/>
        </w:rPr>
      </w:pPr>
      <w:r>
        <w:rPr>
          <w:rFonts w:eastAsiaTheme="majorEastAsia"/>
          <w:sz w:val="24"/>
          <w:shd w:val="clear" w:color="auto" w:fill="FFFFFF"/>
        </w:rPr>
        <w:t>    3 导线与导线、导线与电气设备的连接应牢固可靠；</w:t>
      </w:r>
    </w:p>
    <w:p>
      <w:pPr>
        <w:spacing w:line="360" w:lineRule="auto"/>
        <w:rPr>
          <w:rFonts w:eastAsiaTheme="majorEastAsia"/>
          <w:sz w:val="24"/>
          <w:shd w:val="clear" w:color="auto" w:fill="FFFFFF"/>
        </w:rPr>
      </w:pPr>
      <w:r>
        <w:rPr>
          <w:rFonts w:eastAsiaTheme="majorEastAsia"/>
          <w:sz w:val="24"/>
          <w:shd w:val="clear" w:color="auto" w:fill="FFFFFF"/>
        </w:rPr>
        <w:t>    4 严禁乱拉乱接电气线路，严禁在电气线路上搭、挂物品。</w:t>
      </w:r>
    </w:p>
    <w:p>
      <w:pPr>
        <w:spacing w:line="360" w:lineRule="auto"/>
        <w:rPr>
          <w:rFonts w:eastAsiaTheme="majorEastAsia"/>
          <w:sz w:val="24"/>
          <w:shd w:val="clear" w:color="auto" w:fill="FFFFFF"/>
        </w:rPr>
      </w:pPr>
      <w:r>
        <w:rPr>
          <w:rFonts w:eastAsiaTheme="majorEastAsia"/>
          <w:sz w:val="24"/>
          <w:shd w:val="clear" w:color="auto" w:fill="FFFFFF"/>
        </w:rPr>
        <w:t>7.2.2 用电设备的使用应符合下列要求：</w:t>
      </w:r>
    </w:p>
    <w:p>
      <w:pPr>
        <w:spacing w:line="360" w:lineRule="auto"/>
        <w:rPr>
          <w:rFonts w:eastAsiaTheme="majorEastAsia"/>
          <w:sz w:val="24"/>
          <w:shd w:val="clear" w:color="auto" w:fill="FFFFFF"/>
        </w:rPr>
      </w:pPr>
      <w:r>
        <w:rPr>
          <w:rFonts w:eastAsiaTheme="majorEastAsia"/>
          <w:sz w:val="24"/>
          <w:shd w:val="clear" w:color="auto" w:fill="FFFFFF"/>
        </w:rPr>
        <w:t>    1 用电设备不应过载使用；</w:t>
      </w:r>
    </w:p>
    <w:p>
      <w:pPr>
        <w:spacing w:line="360" w:lineRule="auto"/>
        <w:rPr>
          <w:rFonts w:eastAsiaTheme="majorEastAsia"/>
          <w:sz w:val="24"/>
          <w:shd w:val="clear" w:color="auto" w:fill="FFFFFF"/>
        </w:rPr>
      </w:pPr>
      <w:r>
        <w:rPr>
          <w:rFonts w:eastAsiaTheme="majorEastAsia"/>
          <w:sz w:val="24"/>
          <w:shd w:val="clear" w:color="auto" w:fill="FFFFFF"/>
        </w:rPr>
        <w:t>    2 配电箱、电表箱应采用不燃烧材料制作；可能产生电火花的电源开关、断路器等应采取防止火花飞溅的防护措施；</w:t>
      </w:r>
    </w:p>
    <w:p>
      <w:pPr>
        <w:spacing w:line="360" w:lineRule="auto"/>
        <w:rPr>
          <w:rStyle w:val="13"/>
          <w:rFonts w:eastAsiaTheme="majorEastAsia"/>
          <w:bCs/>
          <w:sz w:val="24"/>
          <w:shd w:val="clear" w:color="auto" w:fill="FFFFFF"/>
        </w:rPr>
      </w:pPr>
      <w:r>
        <w:rPr>
          <w:rStyle w:val="13"/>
          <w:rFonts w:eastAsiaTheme="majorEastAsia"/>
          <w:bCs/>
          <w:sz w:val="24"/>
          <w:shd w:val="clear" w:color="auto" w:fill="FFFFFF"/>
        </w:rPr>
        <w:t>    3 严禁使用铜丝、铁丝等代替保险丝，且不得随意增加保险丝的截面积；</w:t>
      </w:r>
    </w:p>
    <w:p>
      <w:pPr>
        <w:spacing w:line="360" w:lineRule="auto"/>
        <w:rPr>
          <w:rFonts w:eastAsiaTheme="majorEastAsia"/>
          <w:sz w:val="24"/>
          <w:shd w:val="clear" w:color="auto" w:fill="FFFFFF"/>
        </w:rPr>
      </w:pPr>
      <w:r>
        <w:rPr>
          <w:rFonts w:eastAsiaTheme="majorEastAsia"/>
          <w:sz w:val="24"/>
          <w:shd w:val="clear" w:color="auto" w:fill="FFFFFF"/>
        </w:rPr>
        <w:t>    4 电热炉、电暖器、电饭锅、电熨斗、电热毯等电热设备使用期间应有人看护，使用后应及时切断电源；停电后应拔掉电源插头，关断通电设备；</w:t>
      </w:r>
    </w:p>
    <w:p>
      <w:pPr>
        <w:spacing w:line="360" w:lineRule="auto"/>
        <w:rPr>
          <w:rFonts w:eastAsiaTheme="majorEastAsia"/>
          <w:sz w:val="24"/>
          <w:shd w:val="clear" w:color="auto" w:fill="FFFFFF"/>
        </w:rPr>
      </w:pPr>
      <w:r>
        <w:rPr>
          <w:rFonts w:eastAsiaTheme="majorEastAsia"/>
          <w:sz w:val="24"/>
          <w:shd w:val="clear" w:color="auto" w:fill="FFFFFF"/>
        </w:rPr>
        <w:t>    5 用电设备使用期间，应留意观察设备温度，超温时应及时采取断电等措施；</w:t>
      </w:r>
    </w:p>
    <w:p>
      <w:pPr>
        <w:spacing w:line="360" w:lineRule="auto"/>
        <w:rPr>
          <w:rFonts w:eastAsiaTheme="majorEastAsia"/>
          <w:sz w:val="24"/>
          <w:shd w:val="clear" w:color="auto" w:fill="FFFFFF"/>
        </w:rPr>
      </w:pPr>
      <w:r>
        <w:rPr>
          <w:rFonts w:eastAsiaTheme="majorEastAsia"/>
          <w:sz w:val="24"/>
          <w:shd w:val="clear" w:color="auto" w:fill="FFFFFF"/>
        </w:rPr>
        <w:t>    6 用电设备长时间不使用时，应采取将插头从电源插座上拔出等断电措施。</w:t>
      </w:r>
    </w:p>
    <w:p>
      <w:pPr>
        <w:spacing w:line="360" w:lineRule="auto"/>
        <w:rPr>
          <w:rFonts w:eastAsiaTheme="majorEastAsia"/>
          <w:sz w:val="24"/>
          <w:shd w:val="clear" w:color="auto" w:fill="FFFFFF"/>
        </w:rPr>
      </w:pPr>
      <w:r>
        <w:rPr>
          <w:rFonts w:eastAsiaTheme="majorEastAsia"/>
          <w:sz w:val="24"/>
          <w:shd w:val="clear" w:color="auto" w:fill="FFFFFF"/>
        </w:rPr>
        <w:t>7.2.3 照明灯具的使用应符合下列要求：</w:t>
      </w:r>
    </w:p>
    <w:p>
      <w:pPr>
        <w:spacing w:line="360" w:lineRule="auto"/>
        <w:rPr>
          <w:rFonts w:eastAsiaTheme="majorEastAsia"/>
          <w:sz w:val="24"/>
          <w:shd w:val="clear" w:color="auto" w:fill="FFFFFF"/>
        </w:rPr>
      </w:pPr>
      <w:r>
        <w:rPr>
          <w:rFonts w:eastAsiaTheme="majorEastAsia"/>
          <w:sz w:val="24"/>
          <w:shd w:val="clear" w:color="auto" w:fill="FFFFFF"/>
        </w:rPr>
        <w:t>    1 照明灯具表面的高温部位应与可燃物保持安全距离，当靠近可燃物时，应采取隔热、散热等防火保护措施；</w:t>
      </w:r>
    </w:p>
    <w:p>
      <w:pPr>
        <w:spacing w:line="360" w:lineRule="auto"/>
        <w:rPr>
          <w:rFonts w:eastAsiaTheme="majorEastAsia"/>
          <w:sz w:val="24"/>
          <w:shd w:val="clear" w:color="auto" w:fill="FFFFFF"/>
        </w:rPr>
      </w:pPr>
      <w:r>
        <w:rPr>
          <w:rFonts w:eastAsiaTheme="majorEastAsia"/>
          <w:sz w:val="24"/>
          <w:shd w:val="clear" w:color="auto" w:fill="FFFFFF"/>
        </w:rPr>
        <w:t>    2 卤钨灯和额定功率超过100W的白炽灯泡的吸顶灯、槽灯、嵌入式灯，其引入线应采用瓷管、矿棉等不燃材料作隔热保护；</w:t>
      </w:r>
    </w:p>
    <w:p>
      <w:pPr>
        <w:spacing w:line="360" w:lineRule="auto"/>
        <w:rPr>
          <w:rFonts w:eastAsiaTheme="majorEastAsia"/>
          <w:sz w:val="24"/>
          <w:shd w:val="clear" w:color="auto" w:fill="FFFFFF"/>
        </w:rPr>
      </w:pPr>
      <w:r>
        <w:rPr>
          <w:rFonts w:eastAsiaTheme="majorEastAsia"/>
          <w:sz w:val="24"/>
          <w:shd w:val="clear" w:color="auto" w:fill="FFFFFF"/>
        </w:rPr>
        <w:t>    3 卤钨灯、高压钠灯、金属卤灯光源、荧光高压汞灯、超过60W的白炽灯等高温灯具及镇流器不应直接安装在可燃装修材料或可燃构件上。</w:t>
      </w:r>
    </w:p>
    <w:p>
      <w:pPr>
        <w:pStyle w:val="3"/>
        <w:rPr>
          <w:sz w:val="30"/>
          <w:szCs w:val="30"/>
        </w:rPr>
      </w:pPr>
      <w:bookmarkStart w:id="14" w:name="_Toc3086"/>
      <w:r>
        <w:rPr>
          <w:rFonts w:hint="eastAsia"/>
          <w:sz w:val="30"/>
          <w:szCs w:val="30"/>
        </w:rPr>
        <w:t>7.3 用气</w:t>
      </w:r>
      <w:bookmarkEnd w:id="14"/>
    </w:p>
    <w:p>
      <w:pPr>
        <w:spacing w:line="360" w:lineRule="auto"/>
        <w:rPr>
          <w:rFonts w:eastAsiaTheme="majorEastAsia"/>
          <w:sz w:val="24"/>
          <w:shd w:val="clear" w:color="auto" w:fill="FFFFFF"/>
        </w:rPr>
      </w:pPr>
      <w:r>
        <w:rPr>
          <w:rFonts w:hint="eastAsia" w:eastAsiaTheme="majorEastAsia"/>
          <w:sz w:val="24"/>
          <w:shd w:val="clear" w:color="auto" w:fill="FFFFFF"/>
        </w:rPr>
        <w:t>7.3.1 瓶装液化石油气的使用应符合下列要求：</w:t>
      </w:r>
    </w:p>
    <w:p>
      <w:pPr>
        <w:spacing w:line="360" w:lineRule="auto"/>
        <w:rPr>
          <w:rFonts w:eastAsiaTheme="majorEastAsia"/>
          <w:b/>
          <w:bCs/>
          <w:sz w:val="24"/>
          <w:shd w:val="clear" w:color="auto" w:fill="FFFFFF"/>
        </w:rPr>
      </w:pPr>
      <w:r>
        <w:rPr>
          <w:rFonts w:hint="eastAsia" w:eastAsiaTheme="majorEastAsia"/>
          <w:b/>
          <w:bCs/>
          <w:sz w:val="24"/>
          <w:shd w:val="clear" w:color="auto" w:fill="FFFFFF"/>
        </w:rPr>
        <w:t>    1 严禁在地下室存放和使用；</w:t>
      </w:r>
    </w:p>
    <w:p>
      <w:pPr>
        <w:spacing w:line="360" w:lineRule="auto"/>
        <w:rPr>
          <w:rFonts w:eastAsiaTheme="majorEastAsia"/>
          <w:sz w:val="24"/>
          <w:shd w:val="clear" w:color="auto" w:fill="FFFFFF"/>
        </w:rPr>
      </w:pPr>
      <w:r>
        <w:rPr>
          <w:rFonts w:hint="eastAsia" w:eastAsiaTheme="majorEastAsia"/>
          <w:sz w:val="24"/>
          <w:shd w:val="clear" w:color="auto" w:fill="FFFFFF"/>
        </w:rPr>
        <w:t>    2 液化石油气钢瓶不应接近火源、热源，应防止日光直射，与灶具之间的安全距离不应小于0.5m；</w:t>
      </w:r>
    </w:p>
    <w:p>
      <w:pPr>
        <w:spacing w:line="360" w:lineRule="auto"/>
        <w:rPr>
          <w:rFonts w:eastAsiaTheme="majorEastAsia"/>
          <w:sz w:val="24"/>
          <w:shd w:val="clear" w:color="auto" w:fill="FFFFFF"/>
        </w:rPr>
      </w:pPr>
      <w:r>
        <w:rPr>
          <w:rFonts w:hint="eastAsia" w:eastAsiaTheme="majorEastAsia"/>
          <w:sz w:val="24"/>
          <w:shd w:val="clear" w:color="auto" w:fill="FFFFFF"/>
        </w:rPr>
        <w:t>    3 液化石油气钢瓶不应与化学危险物品混放；</w:t>
      </w:r>
    </w:p>
    <w:p>
      <w:pPr>
        <w:spacing w:line="360" w:lineRule="auto"/>
        <w:rPr>
          <w:rFonts w:eastAsiaTheme="majorEastAsia"/>
          <w:b/>
          <w:bCs/>
          <w:sz w:val="24"/>
          <w:shd w:val="clear" w:color="auto" w:fill="FFFFFF"/>
        </w:rPr>
      </w:pPr>
      <w:r>
        <w:rPr>
          <w:rFonts w:hint="eastAsia" w:eastAsiaTheme="majorEastAsia"/>
          <w:b/>
          <w:bCs/>
          <w:sz w:val="24"/>
          <w:shd w:val="clear" w:color="auto" w:fill="FFFFFF"/>
        </w:rPr>
        <w:t>    4 严禁使用超量罐装的液化石油气钢瓶，严禁敲打、倒置、碰撞钢瓶，严禁随意倾倒残液和私自灌气；</w:t>
      </w:r>
    </w:p>
    <w:p>
      <w:pPr>
        <w:spacing w:line="360" w:lineRule="auto"/>
        <w:rPr>
          <w:rFonts w:eastAsiaTheme="majorEastAsia"/>
          <w:sz w:val="24"/>
          <w:shd w:val="clear" w:color="auto" w:fill="FFFFFF"/>
        </w:rPr>
      </w:pPr>
      <w:r>
        <w:rPr>
          <w:rFonts w:hint="eastAsia" w:eastAsiaTheme="majorEastAsia"/>
          <w:sz w:val="24"/>
          <w:shd w:val="clear" w:color="auto" w:fill="FFFFFF"/>
        </w:rPr>
        <w:t>    5 存放和使用液化石油气钢瓶的房间应通风良好。</w:t>
      </w:r>
    </w:p>
    <w:p>
      <w:pPr>
        <w:spacing w:line="360" w:lineRule="auto"/>
        <w:rPr>
          <w:rFonts w:eastAsiaTheme="majorEastAsia"/>
          <w:sz w:val="24"/>
          <w:shd w:val="clear" w:color="auto" w:fill="FFFFFF"/>
        </w:rPr>
      </w:pPr>
      <w:r>
        <w:rPr>
          <w:rFonts w:hint="eastAsia" w:eastAsiaTheme="majorEastAsia"/>
          <w:sz w:val="24"/>
          <w:shd w:val="clear" w:color="auto" w:fill="FFFFFF"/>
        </w:rPr>
        <w:t>7.3.2 管道燃气的使用应符合下列要求：</w:t>
      </w:r>
    </w:p>
    <w:p>
      <w:pPr>
        <w:spacing w:line="360" w:lineRule="auto"/>
        <w:rPr>
          <w:rFonts w:eastAsiaTheme="majorEastAsia"/>
          <w:sz w:val="24"/>
          <w:shd w:val="clear" w:color="auto" w:fill="FFFFFF"/>
        </w:rPr>
      </w:pPr>
      <w:r>
        <w:rPr>
          <w:rFonts w:hint="eastAsia" w:eastAsiaTheme="majorEastAsia"/>
          <w:sz w:val="24"/>
          <w:shd w:val="clear" w:color="auto" w:fill="FFFFFF"/>
        </w:rPr>
        <w:t>    1 燃气管道的设计、敷设应符合国家标准《城镇燃气设计规范》GB 50028的要求，并应由专业人员设计、安装、维护；</w:t>
      </w:r>
    </w:p>
    <w:p>
      <w:pPr>
        <w:spacing w:line="360" w:lineRule="auto"/>
        <w:rPr>
          <w:rFonts w:eastAsiaTheme="majorEastAsia"/>
          <w:sz w:val="24"/>
          <w:shd w:val="clear" w:color="auto" w:fill="FFFFFF"/>
        </w:rPr>
      </w:pPr>
      <w:r>
        <w:rPr>
          <w:rFonts w:hint="eastAsia" w:eastAsiaTheme="majorEastAsia"/>
          <w:sz w:val="24"/>
          <w:shd w:val="clear" w:color="auto" w:fill="FFFFFF"/>
        </w:rPr>
        <w:t>    2 进入建筑物内的燃气管道应采用镀锌钢管，严禁采用塑料管道，管道上应设置切断阀，穿墙处应加设保护套管；</w:t>
      </w:r>
    </w:p>
    <w:p>
      <w:pPr>
        <w:spacing w:line="360" w:lineRule="auto"/>
        <w:rPr>
          <w:rFonts w:eastAsiaTheme="majorEastAsia"/>
          <w:sz w:val="24"/>
          <w:shd w:val="clear" w:color="auto" w:fill="FFFFFF"/>
        </w:rPr>
      </w:pPr>
      <w:r>
        <w:rPr>
          <w:rFonts w:hint="eastAsia" w:eastAsiaTheme="majorEastAsia"/>
          <w:sz w:val="24"/>
          <w:shd w:val="clear" w:color="auto" w:fill="FFFFFF"/>
        </w:rPr>
        <w:t>    3 燃气管道不应设在卧室、疏散通道及安全出口处，燃气计量表具宜安装在通风良好的部位，严禁安装在卧室、浴室等场所；</w:t>
      </w:r>
    </w:p>
    <w:p>
      <w:pPr>
        <w:spacing w:line="360" w:lineRule="auto"/>
        <w:rPr>
          <w:rFonts w:eastAsiaTheme="majorEastAsia"/>
          <w:sz w:val="24"/>
          <w:shd w:val="clear" w:color="auto" w:fill="FFFFFF"/>
        </w:rPr>
      </w:pPr>
      <w:r>
        <w:rPr>
          <w:rFonts w:hint="eastAsia" w:eastAsiaTheme="majorEastAsia"/>
          <w:sz w:val="24"/>
          <w:shd w:val="clear" w:color="auto" w:fill="FFFFFF"/>
        </w:rPr>
        <w:t>    4 使用燃气场所应通风良好，发生火灾应立即关闭阀门，切断气源。</w:t>
      </w:r>
    </w:p>
    <w:p>
      <w:pPr>
        <w:pStyle w:val="3"/>
        <w:rPr>
          <w:sz w:val="30"/>
          <w:szCs w:val="30"/>
        </w:rPr>
      </w:pPr>
      <w:bookmarkStart w:id="15" w:name="_Toc10896"/>
      <w:r>
        <w:rPr>
          <w:rFonts w:hint="eastAsia"/>
          <w:sz w:val="30"/>
          <w:szCs w:val="30"/>
        </w:rPr>
        <w:t>7.4 用油</w:t>
      </w:r>
      <w:bookmarkEnd w:id="15"/>
    </w:p>
    <w:p>
      <w:pPr>
        <w:spacing w:line="360" w:lineRule="auto"/>
        <w:rPr>
          <w:rFonts w:eastAsiaTheme="majorEastAsia"/>
          <w:b/>
          <w:bCs/>
          <w:sz w:val="24"/>
          <w:shd w:val="clear" w:color="auto" w:fill="FFFFFF"/>
        </w:rPr>
      </w:pPr>
      <w:r>
        <w:rPr>
          <w:rFonts w:hint="eastAsia" w:eastAsiaTheme="majorEastAsia"/>
          <w:b/>
          <w:bCs/>
          <w:sz w:val="24"/>
          <w:shd w:val="clear" w:color="auto" w:fill="FFFFFF"/>
        </w:rPr>
        <w:t>7.4.1 汽油、煤油、柴油、酒精等可燃液体不应存放在居室内，且应远离火源、热源。</w:t>
      </w:r>
    </w:p>
    <w:p>
      <w:pPr>
        <w:spacing w:line="360" w:lineRule="auto"/>
        <w:rPr>
          <w:rFonts w:eastAsiaTheme="majorEastAsia"/>
          <w:b/>
          <w:bCs/>
          <w:sz w:val="24"/>
          <w:shd w:val="clear" w:color="auto" w:fill="FFFFFF"/>
        </w:rPr>
      </w:pPr>
      <w:r>
        <w:rPr>
          <w:rFonts w:hint="eastAsia" w:eastAsiaTheme="majorEastAsia"/>
          <w:b/>
          <w:bCs/>
          <w:sz w:val="24"/>
          <w:shd w:val="clear" w:color="auto" w:fill="FFFFFF"/>
        </w:rPr>
        <w:t>7.4.2 使用油类等可燃液体燃料的炉灶、取暖炉等设备必须在熄火降温后充装燃料。</w:t>
      </w:r>
    </w:p>
    <w:p>
      <w:pPr>
        <w:spacing w:line="360" w:lineRule="auto"/>
        <w:rPr>
          <w:rFonts w:eastAsiaTheme="majorEastAsia"/>
          <w:b/>
          <w:bCs/>
          <w:sz w:val="24"/>
          <w:shd w:val="clear" w:color="auto" w:fill="FFFFFF"/>
        </w:rPr>
      </w:pPr>
      <w:r>
        <w:rPr>
          <w:rFonts w:hint="eastAsia" w:eastAsiaTheme="majorEastAsia"/>
          <w:b/>
          <w:bCs/>
          <w:sz w:val="24"/>
          <w:shd w:val="clear" w:color="auto" w:fill="FFFFFF"/>
        </w:rPr>
        <w:t>7.4.3 严禁对盛装或盛装过可燃液体且未采取安全置换措施的存储容器进行电焊等明火作业。</w:t>
      </w:r>
    </w:p>
    <w:p>
      <w:pPr>
        <w:spacing w:line="360" w:lineRule="auto"/>
        <w:rPr>
          <w:rFonts w:eastAsiaTheme="majorEastAsia"/>
          <w:sz w:val="24"/>
          <w:shd w:val="clear" w:color="auto" w:fill="FFFFFF"/>
        </w:rPr>
      </w:pPr>
      <w:r>
        <w:rPr>
          <w:rFonts w:hint="eastAsia" w:eastAsiaTheme="majorEastAsia"/>
          <w:sz w:val="24"/>
          <w:shd w:val="clear" w:color="auto" w:fill="FFFFFF"/>
        </w:rPr>
        <w:t>7.4.4 使用汽油等有机溶剂清洗作业时，应采取防静电、防撞击等防止产生火花的措施。</w:t>
      </w:r>
    </w:p>
    <w:p>
      <w:pPr>
        <w:spacing w:line="360" w:lineRule="auto"/>
        <w:rPr>
          <w:rFonts w:eastAsiaTheme="majorEastAsia"/>
          <w:sz w:val="24"/>
          <w:shd w:val="clear" w:color="auto" w:fill="FFFFFF"/>
        </w:rPr>
      </w:pPr>
      <w:r>
        <w:rPr>
          <w:rFonts w:hint="eastAsia" w:eastAsiaTheme="majorEastAsia"/>
          <w:sz w:val="24"/>
          <w:shd w:val="clear" w:color="auto" w:fill="FFFFFF"/>
        </w:rPr>
        <w:t>7.4.5 严禁使用玻璃瓶、塑料桶等易碎或易产生静电的非金属容器盛装汽油、煤油、酒精等甲、乙类液体。</w:t>
      </w:r>
    </w:p>
    <w:p>
      <w:pPr>
        <w:spacing w:line="360" w:lineRule="auto"/>
        <w:rPr>
          <w:rFonts w:eastAsiaTheme="majorEastAsia"/>
          <w:sz w:val="24"/>
          <w:shd w:val="clear" w:color="auto" w:fill="FFFFFF"/>
        </w:rPr>
      </w:pPr>
      <w:r>
        <w:rPr>
          <w:rFonts w:hint="eastAsia" w:eastAsiaTheme="majorEastAsia"/>
          <w:sz w:val="24"/>
          <w:shd w:val="clear" w:color="auto" w:fill="FFFFFF"/>
        </w:rPr>
        <w:t>7.4.6 室内的燃油管道应采用金属管道并设有事故切断阀，严禁采用塑料管道。</w:t>
      </w:r>
    </w:p>
    <w:p>
      <w:pPr>
        <w:spacing w:line="360" w:lineRule="auto"/>
        <w:rPr>
          <w:rFonts w:eastAsiaTheme="majorEastAsia"/>
          <w:sz w:val="24"/>
          <w:shd w:val="clear" w:color="auto" w:fill="FFFFFF"/>
        </w:rPr>
      </w:pPr>
      <w:r>
        <w:rPr>
          <w:rFonts w:hint="eastAsia" w:eastAsiaTheme="majorEastAsia"/>
          <w:sz w:val="24"/>
          <w:shd w:val="clear" w:color="auto" w:fill="FFFFFF"/>
        </w:rPr>
        <w:t>7.4.7 含有有机溶剂的化妆品、充有可燃液体的打火机等应远离火源、热源。</w:t>
      </w:r>
    </w:p>
    <w:p>
      <w:pPr>
        <w:spacing w:line="360" w:lineRule="auto"/>
        <w:rPr>
          <w:rFonts w:eastAsiaTheme="majorEastAsia"/>
          <w:sz w:val="24"/>
          <w:shd w:val="clear" w:color="auto" w:fill="FFFFFF"/>
        </w:rPr>
      </w:pPr>
      <w:r>
        <w:rPr>
          <w:rFonts w:hint="eastAsia" w:eastAsiaTheme="majorEastAsia"/>
          <w:sz w:val="24"/>
          <w:shd w:val="clear" w:color="auto" w:fill="FFFFFF"/>
        </w:rPr>
        <w:t>7.4.8 设置于建筑内的锅炉房、柴油发电机房及其储油间的设置，应符合《建筑设计防火规范》GB50016-2014的相关要求。</w:t>
      </w:r>
    </w:p>
    <w:p>
      <w:pPr>
        <w:rPr>
          <w:rFonts w:eastAsiaTheme="majorEastAsia"/>
          <w:sz w:val="24"/>
          <w:shd w:val="clear" w:color="auto" w:fill="FFFFFF"/>
        </w:rPr>
      </w:pPr>
      <w:r>
        <w:rPr>
          <w:rFonts w:hint="eastAsia" w:eastAsiaTheme="majorEastAsia"/>
          <w:sz w:val="24"/>
          <w:shd w:val="clear" w:color="auto" w:fill="FFFFFF"/>
        </w:rPr>
        <w:br w:type="page"/>
      </w:r>
    </w:p>
    <w:p>
      <w:pPr>
        <w:pStyle w:val="2"/>
        <w:jc w:val="center"/>
        <w:rPr>
          <w:sz w:val="32"/>
          <w:szCs w:val="32"/>
        </w:rPr>
      </w:pPr>
      <w:bookmarkStart w:id="16" w:name="_Toc1484"/>
      <w:r>
        <w:rPr>
          <w:rFonts w:hint="eastAsia"/>
          <w:sz w:val="32"/>
          <w:szCs w:val="32"/>
        </w:rPr>
        <w:t>8.常见场所火灾防控要求</w:t>
      </w:r>
      <w:bookmarkEnd w:id="16"/>
    </w:p>
    <w:p>
      <w:pPr>
        <w:pStyle w:val="3"/>
        <w:rPr>
          <w:sz w:val="30"/>
          <w:szCs w:val="30"/>
        </w:rPr>
      </w:pPr>
      <w:bookmarkStart w:id="17" w:name="_Toc28539"/>
      <w:r>
        <w:rPr>
          <w:rFonts w:hint="eastAsia"/>
          <w:sz w:val="30"/>
          <w:szCs w:val="30"/>
        </w:rPr>
        <w:t>8.1 一般规定</w:t>
      </w:r>
      <w:bookmarkEnd w:id="17"/>
    </w:p>
    <w:p>
      <w:pPr>
        <w:spacing w:line="360" w:lineRule="auto"/>
        <w:rPr>
          <w:sz w:val="24"/>
        </w:rPr>
      </w:pPr>
      <w:r>
        <w:rPr>
          <w:rFonts w:hint="eastAsia"/>
          <w:sz w:val="24"/>
        </w:rPr>
        <w:t>8.1.1 古城内严禁私搭乱建、占道经营，不得擅自改变既有建筑的尺寸，外立面形式，平面布置，分隔方式，构件的燃烧性能、耐火极限和建筑的疏散条件。</w:t>
      </w:r>
    </w:p>
    <w:p>
      <w:pPr>
        <w:spacing w:line="360" w:lineRule="auto"/>
        <w:rPr>
          <w:sz w:val="24"/>
        </w:rPr>
      </w:pPr>
      <w:r>
        <w:rPr>
          <w:rFonts w:hint="eastAsia"/>
          <w:sz w:val="24"/>
        </w:rPr>
        <w:t>8</w:t>
      </w:r>
      <w:r>
        <w:rPr>
          <w:sz w:val="24"/>
        </w:rPr>
        <w:t>.1.</w:t>
      </w:r>
      <w:r>
        <w:rPr>
          <w:rFonts w:hint="eastAsia"/>
          <w:sz w:val="24"/>
        </w:rPr>
        <w:t>2</w:t>
      </w:r>
      <w:r>
        <w:rPr>
          <w:sz w:val="24"/>
        </w:rPr>
        <w:t>古城内建筑耐火等级的划分应符合现行国家标准《建筑设计防火规范》GB 50016</w:t>
      </w:r>
      <w:r>
        <w:rPr>
          <w:rFonts w:hint="eastAsia"/>
          <w:sz w:val="24"/>
        </w:rPr>
        <w:t>-2014</w:t>
      </w:r>
      <w:r>
        <w:rPr>
          <w:sz w:val="24"/>
        </w:rPr>
        <w:t>的规定。</w:t>
      </w:r>
    </w:p>
    <w:p>
      <w:pPr>
        <w:spacing w:line="360" w:lineRule="auto"/>
        <w:rPr>
          <w:sz w:val="24"/>
        </w:rPr>
      </w:pPr>
      <w:r>
        <w:rPr>
          <w:rFonts w:hint="eastAsia"/>
          <w:sz w:val="24"/>
        </w:rPr>
        <w:t>8</w:t>
      </w:r>
      <w:r>
        <w:rPr>
          <w:sz w:val="24"/>
        </w:rPr>
        <w:t>.1.</w:t>
      </w:r>
      <w:r>
        <w:rPr>
          <w:rFonts w:hint="eastAsia"/>
          <w:sz w:val="24"/>
        </w:rPr>
        <w:t>3</w:t>
      </w:r>
      <w:r>
        <w:rPr>
          <w:sz w:val="24"/>
        </w:rPr>
        <w:t>古城内地下建筑、消防控制室、水泵房、风机房、柴油发电机房的防火设计要求，应参照现行国家相关</w:t>
      </w:r>
      <w:r>
        <w:rPr>
          <w:rFonts w:hint="eastAsia"/>
          <w:sz w:val="24"/>
        </w:rPr>
        <w:t>消防技术</w:t>
      </w:r>
      <w:r>
        <w:rPr>
          <w:sz w:val="24"/>
        </w:rPr>
        <w:t>标准。</w:t>
      </w:r>
    </w:p>
    <w:p>
      <w:pPr>
        <w:spacing w:line="360" w:lineRule="auto"/>
        <w:rPr>
          <w:sz w:val="24"/>
        </w:rPr>
      </w:pPr>
      <w:r>
        <w:rPr>
          <w:rFonts w:hint="eastAsia"/>
          <w:sz w:val="24"/>
        </w:rPr>
        <w:t>8</w:t>
      </w:r>
      <w:r>
        <w:rPr>
          <w:sz w:val="24"/>
        </w:rPr>
        <w:t>.1.</w:t>
      </w:r>
      <w:r>
        <w:rPr>
          <w:rFonts w:hint="eastAsia"/>
          <w:sz w:val="24"/>
        </w:rPr>
        <w:t>4</w:t>
      </w:r>
      <w:r>
        <w:rPr>
          <w:sz w:val="24"/>
        </w:rPr>
        <w:t xml:space="preserve"> 古城内生产车间、作坊和库房应设置在单独建造的建筑内，不得与其它民用建筑合用。</w:t>
      </w:r>
    </w:p>
    <w:p>
      <w:pPr>
        <w:spacing w:line="360" w:lineRule="auto"/>
        <w:rPr>
          <w:sz w:val="24"/>
        </w:rPr>
      </w:pPr>
      <w:r>
        <w:rPr>
          <w:rFonts w:hint="eastAsia"/>
          <w:sz w:val="24"/>
        </w:rPr>
        <w:t>8.1.5 古城内各类公共场所、经营性场所和合用场所安全疏散应满足如下要求：</w:t>
      </w:r>
    </w:p>
    <w:p>
      <w:pPr>
        <w:spacing w:line="360" w:lineRule="auto"/>
        <w:ind w:firstLine="480" w:firstLineChars="200"/>
        <w:rPr>
          <w:sz w:val="24"/>
        </w:rPr>
      </w:pPr>
      <w:r>
        <w:rPr>
          <w:rFonts w:hint="eastAsia"/>
          <w:sz w:val="24"/>
        </w:rPr>
        <w:t>1 安全出口的位置、数量和疏散距离，应参照《建筑设计防火规范》（GB50016-2014）执行；</w:t>
      </w:r>
    </w:p>
    <w:p>
      <w:pPr>
        <w:spacing w:line="360" w:lineRule="auto"/>
        <w:ind w:firstLine="480" w:firstLineChars="200"/>
        <w:rPr>
          <w:sz w:val="24"/>
        </w:rPr>
      </w:pPr>
      <w:r>
        <w:rPr>
          <w:rFonts w:hint="eastAsia"/>
          <w:sz w:val="24"/>
        </w:rPr>
        <w:t>2 安全出口 1.4 米范围内不得设置门槛、台阶，疏散门应向外开启，不得采用卷帘门、转门、吊门和侧拉门，门口不得设置门帘、屏风等影响疏散的遮挡物；</w:t>
      </w:r>
    </w:p>
    <w:p>
      <w:pPr>
        <w:spacing w:line="360" w:lineRule="auto"/>
        <w:ind w:left="17" w:leftChars="8" w:firstLine="460" w:firstLineChars="192"/>
        <w:rPr>
          <w:sz w:val="24"/>
        </w:rPr>
      </w:pPr>
      <w:r>
        <w:rPr>
          <w:rFonts w:hint="eastAsia"/>
          <w:sz w:val="24"/>
        </w:rPr>
        <w:t xml:space="preserve">3 </w:t>
      </w:r>
      <w:r>
        <w:rPr>
          <w:sz w:val="24"/>
        </w:rPr>
        <w:t>楼梯最小</w:t>
      </w:r>
      <w:r>
        <w:rPr>
          <w:kern w:val="0"/>
          <w:sz w:val="24"/>
          <w:lang w:bidi="ar"/>
        </w:rPr>
        <w:t>疏散宽度不小于 1.1m，楼梯倾斜角不大于 45°，踏步宽度不小于 20cm，高度不大于 20cm，耐火极限</w:t>
      </w:r>
      <w:r>
        <w:rPr>
          <w:sz w:val="24"/>
        </w:rPr>
        <w:t>不得低于30min；</w:t>
      </w:r>
    </w:p>
    <w:p>
      <w:pPr>
        <w:spacing w:line="360" w:lineRule="auto"/>
        <w:ind w:firstLine="480" w:firstLineChars="200"/>
        <w:rPr>
          <w:sz w:val="24"/>
        </w:rPr>
      </w:pPr>
      <w:r>
        <w:rPr>
          <w:rFonts w:hint="eastAsia"/>
          <w:sz w:val="24"/>
        </w:rPr>
        <w:t>4 楼梯和安全出口的百人疏散宽度不得小于1米/百人；</w:t>
      </w:r>
    </w:p>
    <w:p>
      <w:pPr>
        <w:spacing w:line="360" w:lineRule="auto"/>
        <w:ind w:firstLine="480" w:firstLineChars="200"/>
        <w:rPr>
          <w:sz w:val="24"/>
        </w:rPr>
      </w:pPr>
      <w:r>
        <w:rPr>
          <w:rFonts w:hint="eastAsia"/>
          <w:sz w:val="24"/>
        </w:rPr>
        <w:t>5 建筑使用室内开敞式楼梯间的，疏散距离应从疏散最高楼层的最远点起算，建筑使用连接敞开式外廊楼梯的，疏散距离可按房间至楼梯入口的距离起算，楼梯疏散楼梯梯段部分的疏散长度，按水平投影长度的1.4倍计算。</w:t>
      </w:r>
    </w:p>
    <w:p>
      <w:pPr>
        <w:spacing w:line="360" w:lineRule="auto"/>
        <w:rPr>
          <w:sz w:val="24"/>
        </w:rPr>
      </w:pPr>
      <w:r>
        <w:rPr>
          <w:rFonts w:hint="eastAsia"/>
          <w:sz w:val="24"/>
        </w:rPr>
        <w:t>8</w:t>
      </w:r>
      <w:r>
        <w:rPr>
          <w:sz w:val="24"/>
        </w:rPr>
        <w:t>.1.</w:t>
      </w:r>
      <w:r>
        <w:rPr>
          <w:rFonts w:hint="eastAsia"/>
          <w:sz w:val="24"/>
        </w:rPr>
        <w:t>6</w:t>
      </w:r>
      <w:r>
        <w:rPr>
          <w:sz w:val="24"/>
        </w:rPr>
        <w:t xml:space="preserve"> </w:t>
      </w:r>
      <w:r>
        <w:rPr>
          <w:rFonts w:hint="eastAsia"/>
          <w:sz w:val="24"/>
        </w:rPr>
        <w:t>古城建筑</w:t>
      </w:r>
      <w:r>
        <w:rPr>
          <w:sz w:val="24"/>
        </w:rPr>
        <w:t>山墙麻雀台上方的悬山部位</w:t>
      </w:r>
      <w:r>
        <w:rPr>
          <w:rFonts w:hint="eastAsia"/>
          <w:sz w:val="24"/>
        </w:rPr>
        <w:t>，宜</w:t>
      </w:r>
      <w:r>
        <w:rPr>
          <w:sz w:val="24"/>
        </w:rPr>
        <w:t>采用耐火极限不小于1</w:t>
      </w:r>
      <w:r>
        <w:rPr>
          <w:rFonts w:hint="eastAsia"/>
          <w:sz w:val="24"/>
        </w:rPr>
        <w:t>.0</w:t>
      </w:r>
      <w:r>
        <w:rPr>
          <w:sz w:val="24"/>
        </w:rPr>
        <w:t>h的不燃性防火板封堵</w:t>
      </w:r>
      <w:r>
        <w:rPr>
          <w:rFonts w:hint="eastAsia"/>
          <w:sz w:val="24"/>
        </w:rPr>
        <w:t>；当靠山墙一侧相邻建筑小于</w:t>
      </w:r>
      <w:r>
        <w:rPr>
          <w:sz w:val="24"/>
        </w:rPr>
        <w:t>《建筑设计防火规范》GB 50016</w:t>
      </w:r>
      <w:r>
        <w:rPr>
          <w:rFonts w:hint="eastAsia"/>
          <w:sz w:val="24"/>
        </w:rPr>
        <w:t>规定的相应耐火等级建筑的防火间距限值时，该部位应</w:t>
      </w:r>
      <w:r>
        <w:rPr>
          <w:sz w:val="24"/>
        </w:rPr>
        <w:t>采用耐火极限不小于1h的不燃性防火板封堵。</w:t>
      </w:r>
    </w:p>
    <w:p>
      <w:pPr>
        <w:spacing w:line="360" w:lineRule="auto"/>
        <w:rPr>
          <w:sz w:val="24"/>
        </w:rPr>
      </w:pPr>
      <w:r>
        <w:rPr>
          <w:rFonts w:hint="eastAsia"/>
          <w:sz w:val="24"/>
        </w:rPr>
        <w:t>8.1.7 古城建筑需要使用简易自动喷水灭火系统保护的，其系统选型可参照附图G给出的市政管网供水条件和喷头数量确定，并应满足如下规定：</w:t>
      </w:r>
    </w:p>
    <w:p>
      <w:pPr>
        <w:spacing w:line="360" w:lineRule="auto"/>
        <w:ind w:left="17" w:leftChars="8" w:firstLine="400" w:firstLineChars="167"/>
        <w:rPr>
          <w:sz w:val="24"/>
        </w:rPr>
      </w:pPr>
      <w:r>
        <w:rPr>
          <w:rFonts w:hint="eastAsia"/>
          <w:sz w:val="24"/>
        </w:rPr>
        <w:t>1 管网供水压力超过0.3MPa且喷头总数不超过20只的场所宜设简化型；</w:t>
      </w:r>
    </w:p>
    <w:p>
      <w:pPr>
        <w:spacing w:line="360" w:lineRule="auto"/>
        <w:ind w:left="17" w:leftChars="8" w:firstLine="400" w:firstLineChars="167"/>
        <w:rPr>
          <w:sz w:val="24"/>
        </w:rPr>
      </w:pPr>
      <w:r>
        <w:rPr>
          <w:rFonts w:hint="eastAsia"/>
          <w:sz w:val="24"/>
        </w:rPr>
        <w:t>2 供水压力超过0.3MPa、人员集中，且喷头总数超过20只的场所宜设通用型；</w:t>
      </w:r>
    </w:p>
    <w:p>
      <w:pPr>
        <w:spacing w:line="360" w:lineRule="auto"/>
        <w:ind w:left="17" w:leftChars="8" w:firstLine="400" w:firstLineChars="167"/>
        <w:rPr>
          <w:sz w:val="24"/>
        </w:rPr>
      </w:pPr>
      <w:r>
        <w:rPr>
          <w:rFonts w:hint="eastAsia"/>
          <w:sz w:val="24"/>
        </w:rPr>
        <w:t>3 供水压力低于0.3MPa、人员集中的场所宜设增压型。</w:t>
      </w:r>
    </w:p>
    <w:p>
      <w:pPr>
        <w:pStyle w:val="3"/>
        <w:rPr>
          <w:sz w:val="30"/>
          <w:szCs w:val="30"/>
        </w:rPr>
      </w:pPr>
      <w:bookmarkStart w:id="18" w:name="_Toc8500"/>
      <w:r>
        <w:rPr>
          <w:rFonts w:hint="eastAsia"/>
          <w:sz w:val="30"/>
          <w:szCs w:val="30"/>
        </w:rPr>
        <w:t>8.2 建筑消防安全评估和消防安全保障方案</w:t>
      </w:r>
      <w:bookmarkEnd w:id="18"/>
    </w:p>
    <w:p>
      <w:pPr>
        <w:spacing w:line="360" w:lineRule="auto"/>
        <w:rPr>
          <w:sz w:val="24"/>
        </w:rPr>
      </w:pPr>
      <w:r>
        <w:rPr>
          <w:rFonts w:hint="eastAsia"/>
          <w:sz w:val="24"/>
        </w:rPr>
        <w:t>8.2.1 对于古城内既有经营性场所，其建筑面积限制应参照表8.2.1确定，当建筑面积超过表8.2.1规定时，应进行火灾风险评估并制定消防安全保障方案。</w:t>
      </w:r>
    </w:p>
    <w:p>
      <w:pPr>
        <w:spacing w:line="360" w:lineRule="auto"/>
        <w:jc w:val="center"/>
        <w:rPr>
          <w:b/>
          <w:bCs/>
        </w:rPr>
      </w:pPr>
      <w:r>
        <w:rPr>
          <w:rFonts w:hint="eastAsia"/>
          <w:b/>
          <w:bCs/>
        </w:rPr>
        <w:t>表8.2.1 各耐火等级建筑防火分区面积限值</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5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2840" w:type="dxa"/>
          </w:tcPr>
          <w:p>
            <w:pPr>
              <w:spacing w:line="360" w:lineRule="auto"/>
              <w:jc w:val="center"/>
              <w:rPr>
                <w:szCs w:val="21"/>
              </w:rPr>
            </w:pPr>
            <w:r>
              <w:rPr>
                <w:rFonts w:hint="eastAsia"/>
                <w:szCs w:val="21"/>
              </w:rPr>
              <w:t>耐火等级</w:t>
            </w:r>
          </w:p>
        </w:tc>
        <w:tc>
          <w:tcPr>
            <w:tcW w:w="5682" w:type="dxa"/>
          </w:tcPr>
          <w:p>
            <w:pPr>
              <w:spacing w:line="360" w:lineRule="auto"/>
              <w:jc w:val="center"/>
              <w:rPr>
                <w:szCs w:val="21"/>
              </w:rPr>
            </w:pPr>
            <w:r>
              <w:rPr>
                <w:rFonts w:hint="eastAsia"/>
                <w:szCs w:val="21"/>
              </w:rPr>
              <w:t>防火分区最大允许建筑面积m</w:t>
            </w:r>
            <w:r>
              <w:rPr>
                <w:rFonts w:hint="eastAsia"/>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spacing w:line="360" w:lineRule="auto"/>
              <w:jc w:val="center"/>
              <w:rPr>
                <w:szCs w:val="21"/>
              </w:rPr>
            </w:pPr>
            <w:r>
              <w:rPr>
                <w:rFonts w:hint="eastAsia"/>
                <w:szCs w:val="21"/>
              </w:rPr>
              <w:t>一二级</w:t>
            </w:r>
          </w:p>
        </w:tc>
        <w:tc>
          <w:tcPr>
            <w:tcW w:w="5682" w:type="dxa"/>
          </w:tcPr>
          <w:p>
            <w:pPr>
              <w:spacing w:line="360" w:lineRule="auto"/>
              <w:jc w:val="center"/>
              <w:rPr>
                <w:szCs w:val="21"/>
              </w:rPr>
            </w:pPr>
            <w:r>
              <w:rPr>
                <w:rFonts w:hint="eastAsia"/>
                <w:szCs w:val="21"/>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spacing w:line="360" w:lineRule="auto"/>
              <w:jc w:val="center"/>
              <w:rPr>
                <w:szCs w:val="21"/>
              </w:rPr>
            </w:pPr>
            <w:r>
              <w:rPr>
                <w:rFonts w:hint="eastAsia"/>
                <w:szCs w:val="21"/>
              </w:rPr>
              <w:t>三级</w:t>
            </w:r>
          </w:p>
        </w:tc>
        <w:tc>
          <w:tcPr>
            <w:tcW w:w="5682" w:type="dxa"/>
          </w:tcPr>
          <w:p>
            <w:pPr>
              <w:spacing w:line="360" w:lineRule="auto"/>
              <w:jc w:val="center"/>
              <w:rPr>
                <w:szCs w:val="21"/>
              </w:rPr>
            </w:pPr>
            <w:r>
              <w:rPr>
                <w:rFonts w:hint="eastAsia"/>
                <w:szCs w:val="21"/>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spacing w:line="360" w:lineRule="auto"/>
              <w:jc w:val="center"/>
              <w:rPr>
                <w:szCs w:val="21"/>
              </w:rPr>
            </w:pPr>
            <w:r>
              <w:rPr>
                <w:rFonts w:hint="eastAsia"/>
                <w:szCs w:val="21"/>
              </w:rPr>
              <w:t>木结构</w:t>
            </w:r>
          </w:p>
        </w:tc>
        <w:tc>
          <w:tcPr>
            <w:tcW w:w="5682" w:type="dxa"/>
          </w:tcPr>
          <w:p>
            <w:pPr>
              <w:spacing w:line="360" w:lineRule="auto"/>
              <w:jc w:val="center"/>
              <w:rPr>
                <w:szCs w:val="21"/>
              </w:rPr>
            </w:pPr>
            <w:r>
              <w:rPr>
                <w:rFonts w:hint="eastAsia"/>
                <w:szCs w:val="21"/>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spacing w:line="360" w:lineRule="auto"/>
              <w:jc w:val="center"/>
              <w:rPr>
                <w:szCs w:val="21"/>
              </w:rPr>
            </w:pPr>
            <w:r>
              <w:rPr>
                <w:rFonts w:hint="eastAsia"/>
                <w:szCs w:val="21"/>
              </w:rPr>
              <w:t>四级</w:t>
            </w:r>
          </w:p>
        </w:tc>
        <w:tc>
          <w:tcPr>
            <w:tcW w:w="5682" w:type="dxa"/>
          </w:tcPr>
          <w:p>
            <w:pPr>
              <w:spacing w:line="360" w:lineRule="auto"/>
              <w:jc w:val="center"/>
              <w:rPr>
                <w:szCs w:val="21"/>
              </w:rPr>
            </w:pPr>
            <w:r>
              <w:rPr>
                <w:rFonts w:hint="eastAsia"/>
                <w:szCs w:val="21"/>
              </w:rPr>
              <w:t>600</w:t>
            </w:r>
          </w:p>
        </w:tc>
      </w:tr>
    </w:tbl>
    <w:p>
      <w:pPr>
        <w:rPr>
          <w:szCs w:val="21"/>
        </w:rPr>
      </w:pPr>
      <w:r>
        <w:rPr>
          <w:rFonts w:hint="eastAsia"/>
          <w:szCs w:val="21"/>
        </w:rPr>
        <w:t>*备注：1.表中规定的防火分区最大允许建筑面积，当建筑内设置自动灭火系统时，可按本表的规定增加1.0倍；局部设置时，防火分区的增加面积可按该局部面积的1.0倍计算。2.当建筑楼板有连通多层的开口或采用木楼板时，建筑面积按各层叠加计算。3.此处所指的木结构建筑，不是一般意义下的传统木结构建筑，特指满足《建筑设计防火规范》（GB50016-2018）第11.0.1条要求的木结构建筑。</w:t>
      </w:r>
    </w:p>
    <w:p>
      <w:pPr>
        <w:spacing w:line="360" w:lineRule="auto"/>
        <w:rPr>
          <w:sz w:val="24"/>
        </w:rPr>
      </w:pPr>
      <w:r>
        <w:rPr>
          <w:rFonts w:hint="eastAsia"/>
          <w:sz w:val="24"/>
        </w:rPr>
        <w:t>8</w:t>
      </w:r>
      <w:r>
        <w:rPr>
          <w:sz w:val="24"/>
        </w:rPr>
        <w:t>.2.</w:t>
      </w:r>
      <w:r>
        <w:rPr>
          <w:rFonts w:hint="eastAsia"/>
          <w:sz w:val="24"/>
        </w:rPr>
        <w:t>2</w:t>
      </w:r>
      <w:r>
        <w:rPr>
          <w:sz w:val="24"/>
        </w:rPr>
        <w:t xml:space="preserve"> 对古城内既有建筑的修缮工程，</w:t>
      </w:r>
      <w:r>
        <w:rPr>
          <w:rFonts w:hint="eastAsia"/>
          <w:sz w:val="24"/>
        </w:rPr>
        <w:t>建筑所在区域的</w:t>
      </w:r>
      <w:r>
        <w:rPr>
          <w:sz w:val="24"/>
        </w:rPr>
        <w:t>消防分区</w:t>
      </w:r>
      <w:r>
        <w:rPr>
          <w:rFonts w:hint="eastAsia"/>
          <w:sz w:val="24"/>
        </w:rPr>
        <w:t>可参照</w:t>
      </w:r>
      <w:r>
        <w:rPr>
          <w:sz w:val="24"/>
        </w:rPr>
        <w:t>本导则</w:t>
      </w:r>
      <w:r>
        <w:rPr>
          <w:rFonts w:hint="eastAsia"/>
          <w:sz w:val="24"/>
        </w:rPr>
        <w:t>5</w:t>
      </w:r>
      <w:r>
        <w:rPr>
          <w:sz w:val="24"/>
        </w:rPr>
        <w:t>.2.</w:t>
      </w:r>
      <w:r>
        <w:rPr>
          <w:rFonts w:hint="eastAsia"/>
          <w:sz w:val="24"/>
        </w:rPr>
        <w:t>4</w:t>
      </w:r>
      <w:r>
        <w:rPr>
          <w:sz w:val="24"/>
        </w:rPr>
        <w:t>条要求，</w:t>
      </w:r>
      <w:r>
        <w:rPr>
          <w:rFonts w:hint="eastAsia"/>
          <w:sz w:val="24"/>
        </w:rPr>
        <w:t>但在修缮过程中</w:t>
      </w:r>
      <w:r>
        <w:rPr>
          <w:sz w:val="24"/>
        </w:rPr>
        <w:t>不应在原有基础上增加新的蔓延风险。</w:t>
      </w:r>
      <w:r>
        <w:rPr>
          <w:rFonts w:hint="eastAsia"/>
          <w:sz w:val="24"/>
        </w:rPr>
        <w:t>当修缮工程出现以下情况之一时，视为在原有基础上增加了新的蔓延风险，需要进行专项消防安全评估并应制定消防安全保障方案：</w:t>
      </w:r>
    </w:p>
    <w:p>
      <w:pPr>
        <w:spacing w:line="360" w:lineRule="auto"/>
        <w:ind w:left="15" w:leftChars="7" w:firstLine="403" w:firstLineChars="168"/>
        <w:rPr>
          <w:sz w:val="24"/>
        </w:rPr>
      </w:pPr>
      <w:r>
        <w:rPr>
          <w:rFonts w:hint="eastAsia"/>
          <w:sz w:val="24"/>
        </w:rPr>
        <w:t>1 增加了建筑物的长度、宽度或高度；</w:t>
      </w:r>
    </w:p>
    <w:p>
      <w:pPr>
        <w:spacing w:line="360" w:lineRule="auto"/>
        <w:ind w:left="15" w:leftChars="7" w:firstLine="403" w:firstLineChars="168"/>
        <w:rPr>
          <w:sz w:val="24"/>
        </w:rPr>
      </w:pPr>
      <w:r>
        <w:rPr>
          <w:rFonts w:hint="eastAsia"/>
          <w:sz w:val="24"/>
        </w:rPr>
        <w:t>2 改变了原有的庭院布局；</w:t>
      </w:r>
    </w:p>
    <w:p>
      <w:pPr>
        <w:spacing w:line="360" w:lineRule="auto"/>
        <w:ind w:left="15" w:leftChars="7" w:firstLine="403" w:firstLineChars="168"/>
        <w:rPr>
          <w:sz w:val="24"/>
        </w:rPr>
      </w:pPr>
      <w:r>
        <w:rPr>
          <w:rFonts w:hint="eastAsia"/>
          <w:sz w:val="24"/>
        </w:rPr>
        <w:t>3 改变了建筑外墙上的门、窗洞口尺寸、增加了新的洞口或增加了新的可燃悬挑物；</w:t>
      </w:r>
    </w:p>
    <w:p>
      <w:pPr>
        <w:spacing w:line="360" w:lineRule="auto"/>
        <w:ind w:left="15" w:leftChars="7" w:firstLine="403" w:firstLineChars="168"/>
        <w:rPr>
          <w:sz w:val="24"/>
        </w:rPr>
      </w:pPr>
      <w:r>
        <w:rPr>
          <w:rFonts w:hint="eastAsia"/>
          <w:sz w:val="24"/>
        </w:rPr>
        <w:t>4 降低了建筑物外墙、屋盖、梁、板、柱等构件的燃烧性能和耐火极限；</w:t>
      </w:r>
    </w:p>
    <w:p>
      <w:pPr>
        <w:spacing w:line="360" w:lineRule="auto"/>
        <w:ind w:left="15" w:leftChars="7" w:firstLine="403" w:firstLineChars="168"/>
        <w:rPr>
          <w:sz w:val="24"/>
        </w:rPr>
      </w:pPr>
      <w:r>
        <w:rPr>
          <w:rFonts w:hint="eastAsia"/>
          <w:sz w:val="24"/>
        </w:rPr>
        <w:t>5 原有消防设施被破坏或拆除，削弱了建筑物消防设施防护水平。</w:t>
      </w:r>
    </w:p>
    <w:p>
      <w:pPr>
        <w:spacing w:line="360" w:lineRule="auto"/>
        <w:rPr>
          <w:sz w:val="24"/>
        </w:rPr>
      </w:pPr>
      <w:r>
        <w:rPr>
          <w:rFonts w:hint="eastAsia"/>
          <w:sz w:val="24"/>
        </w:rPr>
        <w:t>8.2.3</w:t>
      </w:r>
      <w:r>
        <w:rPr>
          <w:sz w:val="24"/>
        </w:rPr>
        <w:t>对古城内的改建、扩建工程，其防火分区的建筑面积</w:t>
      </w:r>
      <w:r>
        <w:rPr>
          <w:rFonts w:hint="eastAsia"/>
          <w:sz w:val="24"/>
        </w:rPr>
        <w:t>不应超过表8.2.1的规定。</w:t>
      </w:r>
      <w:r>
        <w:rPr>
          <w:sz w:val="24"/>
        </w:rPr>
        <w:t>当古城内改建、扩建工程与毗邻建筑之间不存在</w:t>
      </w:r>
      <w:r>
        <w:rPr>
          <w:rFonts w:hint="eastAsia"/>
          <w:sz w:val="24"/>
        </w:rPr>
        <w:t>本导则第5.2.2条所述</w:t>
      </w:r>
      <w:r>
        <w:rPr>
          <w:sz w:val="24"/>
        </w:rPr>
        <w:t>防火分隔边界时，防火分区面积应叠加毗邻建筑的建筑面积。</w:t>
      </w:r>
    </w:p>
    <w:p>
      <w:pPr>
        <w:spacing w:line="360" w:lineRule="auto"/>
        <w:rPr>
          <w:sz w:val="24"/>
        </w:rPr>
      </w:pPr>
      <w:r>
        <w:rPr>
          <w:rFonts w:hint="eastAsia"/>
          <w:sz w:val="24"/>
        </w:rPr>
        <w:t>8</w:t>
      </w:r>
      <w:r>
        <w:rPr>
          <w:sz w:val="24"/>
        </w:rPr>
        <w:t>.2.</w:t>
      </w:r>
      <w:r>
        <w:rPr>
          <w:rFonts w:hint="eastAsia"/>
          <w:sz w:val="24"/>
        </w:rPr>
        <w:t>4对于</w:t>
      </w:r>
      <w:r>
        <w:rPr>
          <w:sz w:val="24"/>
        </w:rPr>
        <w:t>古城内的改建、扩建工程，其防火分区的建筑面积</w:t>
      </w:r>
      <w:r>
        <w:rPr>
          <w:rFonts w:hint="eastAsia"/>
          <w:sz w:val="24"/>
        </w:rPr>
        <w:t>不能满足8.2.3条要求的，应进行火灾风险评估并制定消防安全保障方案。</w:t>
      </w:r>
    </w:p>
    <w:p>
      <w:pPr>
        <w:spacing w:line="360" w:lineRule="auto"/>
        <w:rPr>
          <w:sz w:val="24"/>
        </w:rPr>
      </w:pPr>
      <w:r>
        <w:rPr>
          <w:rFonts w:hint="eastAsia"/>
          <w:sz w:val="24"/>
        </w:rPr>
        <w:t>8.2.5 消防安全保障方案的内容，除应包括本导则4.0.4条消防安全评估的基本内容外，尚应包括：</w:t>
      </w:r>
    </w:p>
    <w:p>
      <w:pPr>
        <w:spacing w:line="360" w:lineRule="auto"/>
        <w:ind w:firstLine="420" w:firstLineChars="175"/>
        <w:rPr>
          <w:sz w:val="24"/>
        </w:rPr>
      </w:pPr>
      <w:r>
        <w:rPr>
          <w:rFonts w:hint="eastAsia"/>
          <w:sz w:val="24"/>
        </w:rPr>
        <w:t>1 所提出的消防安全改造措施的分析论证材料和相关技术标准依据；</w:t>
      </w:r>
    </w:p>
    <w:p>
      <w:pPr>
        <w:spacing w:line="360" w:lineRule="auto"/>
        <w:ind w:firstLine="420" w:firstLineChars="175"/>
        <w:rPr>
          <w:sz w:val="24"/>
        </w:rPr>
      </w:pPr>
      <w:r>
        <w:rPr>
          <w:rFonts w:hint="eastAsia"/>
          <w:sz w:val="24"/>
        </w:rPr>
        <w:t>2 建筑、给排水、暖通、电气各专业的消防安全改造设计文件；</w:t>
      </w:r>
    </w:p>
    <w:p>
      <w:pPr>
        <w:spacing w:line="360" w:lineRule="auto"/>
        <w:ind w:firstLine="420" w:firstLineChars="175"/>
        <w:rPr>
          <w:sz w:val="24"/>
        </w:rPr>
      </w:pPr>
      <w:r>
        <w:rPr>
          <w:rFonts w:hint="eastAsia"/>
          <w:sz w:val="24"/>
        </w:rPr>
        <w:t>3 相关的消防安全管理要求；</w:t>
      </w:r>
    </w:p>
    <w:p>
      <w:pPr>
        <w:spacing w:line="360" w:lineRule="auto"/>
        <w:ind w:firstLine="420" w:firstLineChars="175"/>
        <w:rPr>
          <w:sz w:val="24"/>
        </w:rPr>
      </w:pPr>
      <w:r>
        <w:rPr>
          <w:rFonts w:hint="eastAsia"/>
          <w:sz w:val="24"/>
        </w:rPr>
        <w:t>4 相关部门的论证批复文件。</w:t>
      </w:r>
    </w:p>
    <w:p>
      <w:pPr>
        <w:pStyle w:val="3"/>
        <w:rPr>
          <w:sz w:val="30"/>
          <w:szCs w:val="30"/>
        </w:rPr>
      </w:pPr>
      <w:bookmarkStart w:id="19" w:name="_Toc23786"/>
      <w:r>
        <w:rPr>
          <w:rFonts w:hint="eastAsia"/>
          <w:sz w:val="30"/>
          <w:szCs w:val="30"/>
        </w:rPr>
        <w:t>8.3 合用场所</w:t>
      </w:r>
      <w:bookmarkEnd w:id="19"/>
    </w:p>
    <w:p>
      <w:pPr>
        <w:spacing w:line="360" w:lineRule="auto"/>
        <w:rPr>
          <w:sz w:val="24"/>
        </w:rPr>
      </w:pPr>
      <w:r>
        <w:rPr>
          <w:rFonts w:hint="eastAsia"/>
          <w:sz w:val="24"/>
        </w:rPr>
        <w:t>8</w:t>
      </w:r>
      <w:r>
        <w:rPr>
          <w:sz w:val="24"/>
        </w:rPr>
        <w:t>.</w:t>
      </w:r>
      <w:r>
        <w:rPr>
          <w:rFonts w:hint="eastAsia"/>
          <w:sz w:val="24"/>
        </w:rPr>
        <w:t>3</w:t>
      </w:r>
      <w:r>
        <w:rPr>
          <w:sz w:val="24"/>
        </w:rPr>
        <w:t>.</w:t>
      </w:r>
      <w:r>
        <w:rPr>
          <w:rFonts w:hint="eastAsia"/>
          <w:sz w:val="24"/>
        </w:rPr>
        <w:t>1</w:t>
      </w:r>
      <w:r>
        <w:rPr>
          <w:sz w:val="24"/>
        </w:rPr>
        <w:t>住宿与生产、储存、经营合用场所（以下简称</w:t>
      </w:r>
      <w:r>
        <w:rPr>
          <w:rFonts w:hint="eastAsia"/>
          <w:sz w:val="24"/>
        </w:rPr>
        <w:t>“</w:t>
      </w:r>
      <w:r>
        <w:rPr>
          <w:sz w:val="24"/>
        </w:rPr>
        <w:t>合用场所</w:t>
      </w:r>
      <w:r>
        <w:rPr>
          <w:rFonts w:hint="eastAsia"/>
          <w:sz w:val="24"/>
        </w:rPr>
        <w:t>”</w:t>
      </w:r>
      <w:r>
        <w:rPr>
          <w:sz w:val="24"/>
        </w:rPr>
        <w:t>）严禁设置在下列建筑内：</w:t>
      </w:r>
    </w:p>
    <w:p>
      <w:pPr>
        <w:spacing w:line="360" w:lineRule="auto"/>
        <w:rPr>
          <w:sz w:val="24"/>
        </w:rPr>
      </w:pPr>
      <w:r>
        <w:rPr>
          <w:sz w:val="24"/>
        </w:rPr>
        <w:t>    1 有甲、乙类火灾危险性的生产、储存、经营的建筑</w:t>
      </w:r>
      <w:r>
        <w:rPr>
          <w:rFonts w:hint="eastAsia"/>
          <w:sz w:val="24"/>
        </w:rPr>
        <w:t>；</w:t>
      </w:r>
    </w:p>
    <w:p>
      <w:pPr>
        <w:spacing w:line="360" w:lineRule="auto"/>
        <w:rPr>
          <w:sz w:val="24"/>
        </w:rPr>
      </w:pPr>
      <w:r>
        <w:rPr>
          <w:sz w:val="24"/>
        </w:rPr>
        <w:t>    2 建筑耐火等级为三级及三级以下的建筑</w:t>
      </w:r>
      <w:r>
        <w:rPr>
          <w:rFonts w:hint="eastAsia"/>
          <w:sz w:val="24"/>
        </w:rPr>
        <w:t>；</w:t>
      </w:r>
    </w:p>
    <w:p>
      <w:pPr>
        <w:spacing w:line="360" w:lineRule="auto"/>
        <w:rPr>
          <w:sz w:val="24"/>
        </w:rPr>
      </w:pPr>
      <w:r>
        <w:rPr>
          <w:sz w:val="24"/>
        </w:rPr>
        <w:t>    3 厂房和仓库</w:t>
      </w:r>
      <w:r>
        <w:rPr>
          <w:rFonts w:hint="eastAsia"/>
          <w:sz w:val="24"/>
        </w:rPr>
        <w:t>；</w:t>
      </w:r>
    </w:p>
    <w:p>
      <w:pPr>
        <w:spacing w:line="360" w:lineRule="auto"/>
        <w:rPr>
          <w:sz w:val="24"/>
        </w:rPr>
      </w:pPr>
      <w:r>
        <w:rPr>
          <w:sz w:val="24"/>
        </w:rPr>
        <w:t>    4 建筑面积大于2500m</w:t>
      </w:r>
      <w:r>
        <w:rPr>
          <w:sz w:val="24"/>
          <w:vertAlign w:val="superscript"/>
        </w:rPr>
        <w:t>2</w:t>
      </w:r>
      <w:r>
        <w:rPr>
          <w:sz w:val="24"/>
        </w:rPr>
        <w:t>的商场</w:t>
      </w:r>
      <w:r>
        <w:rPr>
          <w:rFonts w:hint="eastAsia"/>
          <w:sz w:val="24"/>
        </w:rPr>
        <w:t>、</w:t>
      </w:r>
      <w:r>
        <w:rPr>
          <w:sz w:val="24"/>
        </w:rPr>
        <w:t>市场等公共建筑</w:t>
      </w:r>
      <w:r>
        <w:rPr>
          <w:rFonts w:hint="eastAsia"/>
          <w:sz w:val="24"/>
        </w:rPr>
        <w:t>；</w:t>
      </w:r>
    </w:p>
    <w:p>
      <w:pPr>
        <w:spacing w:line="360" w:lineRule="auto"/>
        <w:rPr>
          <w:sz w:val="24"/>
        </w:rPr>
      </w:pPr>
      <w:r>
        <w:rPr>
          <w:sz w:val="24"/>
        </w:rPr>
        <w:t>    5 地下建筑。</w:t>
      </w:r>
    </w:p>
    <w:p>
      <w:pPr>
        <w:spacing w:line="360" w:lineRule="auto"/>
        <w:rPr>
          <w:sz w:val="24"/>
        </w:rPr>
      </w:pPr>
      <w:r>
        <w:rPr>
          <w:rFonts w:hint="eastAsia"/>
          <w:sz w:val="24"/>
        </w:rPr>
        <w:t>8</w:t>
      </w:r>
      <w:r>
        <w:rPr>
          <w:sz w:val="24"/>
        </w:rPr>
        <w:t>.</w:t>
      </w:r>
      <w:r>
        <w:rPr>
          <w:rFonts w:hint="eastAsia"/>
          <w:sz w:val="24"/>
        </w:rPr>
        <w:t>3</w:t>
      </w:r>
      <w:r>
        <w:rPr>
          <w:sz w:val="24"/>
        </w:rPr>
        <w:t>.</w:t>
      </w:r>
      <w:r>
        <w:rPr>
          <w:rFonts w:hint="eastAsia"/>
          <w:sz w:val="24"/>
        </w:rPr>
        <w:t>2</w:t>
      </w:r>
      <w:r>
        <w:rPr>
          <w:sz w:val="24"/>
        </w:rPr>
        <w:t xml:space="preserve"> 一二级耐火等级的建筑中，当</w:t>
      </w:r>
      <w:r>
        <w:rPr>
          <w:rFonts w:hint="eastAsia"/>
          <w:sz w:val="24"/>
        </w:rPr>
        <w:t>居住场所</w:t>
      </w:r>
      <w:r>
        <w:rPr>
          <w:sz w:val="24"/>
        </w:rPr>
        <w:t>与其它场所合用时，应采取如下措施：</w:t>
      </w:r>
    </w:p>
    <w:p>
      <w:pPr>
        <w:spacing w:line="360" w:lineRule="auto"/>
        <w:ind w:firstLine="480" w:firstLineChars="200"/>
        <w:rPr>
          <w:sz w:val="24"/>
        </w:rPr>
      </w:pPr>
      <w:r>
        <w:rPr>
          <w:rFonts w:hint="eastAsia"/>
          <w:sz w:val="24"/>
        </w:rPr>
        <w:t xml:space="preserve">1 </w:t>
      </w:r>
      <w:r>
        <w:rPr>
          <w:sz w:val="24"/>
        </w:rPr>
        <w:t>住宿部分与非住宿部分应采用不开门窗洞口的防火墙和耐火极限不低于1.50h的楼板将住宿部分与非住宿部分完全分隔；当无法分隔时，住宿与非住宿部分应设置火灾自动报警系统或独立式感烟火灾探测报警器，并应设置自动喷水灭火系统或自动喷水局部应用系统</w:t>
      </w:r>
      <w:r>
        <w:rPr>
          <w:rFonts w:hint="eastAsia"/>
          <w:sz w:val="24"/>
        </w:rPr>
        <w:t>；</w:t>
      </w:r>
    </w:p>
    <w:p>
      <w:pPr>
        <w:spacing w:line="360" w:lineRule="auto"/>
        <w:ind w:firstLine="480" w:firstLineChars="200"/>
        <w:rPr>
          <w:sz w:val="24"/>
        </w:rPr>
      </w:pPr>
      <w:r>
        <w:rPr>
          <w:rFonts w:hint="eastAsia"/>
          <w:sz w:val="24"/>
        </w:rPr>
        <w:t xml:space="preserve">2 </w:t>
      </w:r>
      <w:r>
        <w:rPr>
          <w:sz w:val="24"/>
        </w:rPr>
        <w:t>住宿与非住宿部分应设置独立的疏散设施；当确有困难时，应设置独立的辅助疏散设施。</w:t>
      </w:r>
    </w:p>
    <w:p>
      <w:pPr>
        <w:pStyle w:val="3"/>
        <w:rPr>
          <w:sz w:val="30"/>
          <w:szCs w:val="30"/>
        </w:rPr>
      </w:pPr>
      <w:bookmarkStart w:id="20" w:name="_Toc8091"/>
      <w:r>
        <w:rPr>
          <w:rFonts w:hint="eastAsia"/>
          <w:sz w:val="30"/>
          <w:szCs w:val="30"/>
        </w:rPr>
        <w:t>8.4 住宅</w:t>
      </w:r>
      <w:bookmarkEnd w:id="20"/>
    </w:p>
    <w:p>
      <w:pPr>
        <w:spacing w:line="360" w:lineRule="auto"/>
        <w:rPr>
          <w:b/>
          <w:bCs/>
          <w:sz w:val="24"/>
        </w:rPr>
      </w:pPr>
      <w:r>
        <w:rPr>
          <w:rFonts w:hint="eastAsia"/>
          <w:b/>
          <w:bCs/>
          <w:sz w:val="24"/>
        </w:rPr>
        <w:t>8.4.1住宅内装修装饰材料燃烧性能不应低于B2级，严禁使用B3级材料。</w:t>
      </w:r>
    </w:p>
    <w:p>
      <w:pPr>
        <w:spacing w:line="360" w:lineRule="auto"/>
        <w:rPr>
          <w:sz w:val="24"/>
        </w:rPr>
      </w:pPr>
      <w:r>
        <w:rPr>
          <w:rFonts w:hint="eastAsia"/>
          <w:sz w:val="24"/>
        </w:rPr>
        <w:t>8.4.2 住宅内厨房设置应满足如下要求：</w:t>
      </w:r>
    </w:p>
    <w:p>
      <w:pPr>
        <w:spacing w:line="360" w:lineRule="auto"/>
        <w:ind w:firstLine="480" w:firstLineChars="200"/>
        <w:rPr>
          <w:sz w:val="24"/>
        </w:rPr>
      </w:pPr>
      <w:r>
        <w:rPr>
          <w:rFonts w:hint="eastAsia"/>
          <w:sz w:val="24"/>
        </w:rPr>
        <w:t>1本导则第7.1.2~7.1.5条相关要求；</w:t>
      </w:r>
    </w:p>
    <w:p>
      <w:pPr>
        <w:spacing w:line="360" w:lineRule="auto"/>
        <w:ind w:firstLine="480" w:firstLineChars="200"/>
        <w:rPr>
          <w:sz w:val="24"/>
        </w:rPr>
      </w:pPr>
      <w:r>
        <w:rPr>
          <w:rFonts w:hint="eastAsia"/>
          <w:sz w:val="24"/>
        </w:rPr>
        <w:t>2 瓶装液化气备用存储量不得超过2瓶；</w:t>
      </w:r>
    </w:p>
    <w:p>
      <w:pPr>
        <w:spacing w:line="360" w:lineRule="auto"/>
        <w:ind w:firstLine="480" w:firstLineChars="200"/>
        <w:rPr>
          <w:sz w:val="24"/>
        </w:rPr>
      </w:pPr>
      <w:r>
        <w:rPr>
          <w:rFonts w:hint="eastAsia"/>
          <w:sz w:val="24"/>
        </w:rPr>
        <w:t>3宜对其油烟管道进行定期清洗。</w:t>
      </w:r>
    </w:p>
    <w:p>
      <w:pPr>
        <w:spacing w:line="360" w:lineRule="auto"/>
        <w:rPr>
          <w:sz w:val="24"/>
        </w:rPr>
      </w:pPr>
      <w:r>
        <w:rPr>
          <w:rFonts w:hint="eastAsia"/>
          <w:sz w:val="24"/>
        </w:rPr>
        <w:t>8.4.3 住宅内消防设施应满足如下要求：</w:t>
      </w:r>
    </w:p>
    <w:p>
      <w:pPr>
        <w:spacing w:line="360" w:lineRule="auto"/>
        <w:ind w:firstLine="480" w:firstLineChars="200"/>
        <w:rPr>
          <w:sz w:val="24"/>
        </w:rPr>
      </w:pPr>
      <w:r>
        <w:rPr>
          <w:rFonts w:hint="eastAsia"/>
          <w:sz w:val="24"/>
        </w:rPr>
        <w:t>1 当住宅属于县级以上文物保护单位时，按每 50 m</w:t>
      </w:r>
      <w:r>
        <w:rPr>
          <w:rFonts w:hint="eastAsia"/>
          <w:sz w:val="24"/>
          <w:vertAlign w:val="superscript"/>
        </w:rPr>
        <w:t>2</w:t>
      </w:r>
      <w:r>
        <w:rPr>
          <w:rFonts w:hint="eastAsia"/>
          <w:sz w:val="24"/>
        </w:rPr>
        <w:t>配置最小灭级别不小于 3A配置灭火器，每个点不少于 2 具且不多于 5 具；当住宅不属于县级以上文物保护单位时，按每 75 m</w:t>
      </w:r>
      <w:r>
        <w:rPr>
          <w:rFonts w:hint="eastAsia"/>
          <w:sz w:val="24"/>
          <w:vertAlign w:val="superscript"/>
        </w:rPr>
        <w:t>2</w:t>
      </w:r>
      <w:r>
        <w:rPr>
          <w:rFonts w:hint="eastAsia"/>
          <w:sz w:val="24"/>
        </w:rPr>
        <w:t>配置最小灭级别不小于 2A配置灭火器，每个点不少于 2 具且不多于 5 具；设有自动喷水灭火系统可以折减 30%。</w:t>
      </w:r>
    </w:p>
    <w:p>
      <w:pPr>
        <w:spacing w:line="360" w:lineRule="auto"/>
        <w:ind w:firstLine="480" w:firstLineChars="200"/>
        <w:rPr>
          <w:sz w:val="24"/>
        </w:rPr>
      </w:pPr>
      <w:r>
        <w:rPr>
          <w:rFonts w:hint="eastAsia"/>
          <w:sz w:val="24"/>
        </w:rPr>
        <w:t>2 处于高蔓延风险和极高蔓延风险区域的，宜按5.2.4条要求配置简易自动喷水灭火系统。</w:t>
      </w:r>
    </w:p>
    <w:p>
      <w:pPr>
        <w:spacing w:line="360" w:lineRule="auto"/>
        <w:rPr>
          <w:sz w:val="24"/>
        </w:rPr>
      </w:pPr>
      <w:r>
        <w:rPr>
          <w:rFonts w:hint="eastAsia"/>
          <w:sz w:val="24"/>
        </w:rPr>
        <w:t>8.4.4 住宅内用电除应满足本导则7.2节安全要求外，尚应满足：</w:t>
      </w:r>
    </w:p>
    <w:p>
      <w:pPr>
        <w:spacing w:line="360" w:lineRule="auto"/>
        <w:ind w:firstLine="480" w:firstLineChars="200"/>
        <w:rPr>
          <w:sz w:val="24"/>
        </w:rPr>
      </w:pPr>
      <w:r>
        <w:rPr>
          <w:rFonts w:hint="eastAsia"/>
          <w:sz w:val="24"/>
        </w:rPr>
        <w:t>1入户用电线路上应设置短路保护和过负荷保护；</w:t>
      </w:r>
    </w:p>
    <w:p>
      <w:pPr>
        <w:spacing w:line="360" w:lineRule="auto"/>
        <w:ind w:firstLine="480" w:firstLineChars="200"/>
        <w:rPr>
          <w:sz w:val="24"/>
        </w:rPr>
      </w:pPr>
      <w:r>
        <w:rPr>
          <w:rFonts w:hint="eastAsia"/>
          <w:sz w:val="24"/>
        </w:rPr>
        <w:t>2 当为文物建筑时，应设置电气火灾监控系统。</w:t>
      </w:r>
    </w:p>
    <w:p>
      <w:pPr>
        <w:pStyle w:val="3"/>
        <w:rPr>
          <w:sz w:val="30"/>
          <w:szCs w:val="30"/>
          <w:highlight w:val="green"/>
        </w:rPr>
      </w:pPr>
      <w:bookmarkStart w:id="21" w:name="_Toc31937"/>
      <w:r>
        <w:rPr>
          <w:rFonts w:hint="eastAsia"/>
          <w:sz w:val="30"/>
          <w:szCs w:val="30"/>
          <w:highlight w:val="green"/>
        </w:rPr>
        <w:t>8.5 学校</w:t>
      </w:r>
      <w:bookmarkEnd w:id="21"/>
    </w:p>
    <w:p>
      <w:pPr>
        <w:spacing w:line="360" w:lineRule="auto"/>
        <w:rPr>
          <w:b/>
          <w:bCs/>
          <w:sz w:val="24"/>
        </w:rPr>
      </w:pPr>
      <w:r>
        <w:rPr>
          <w:rFonts w:hint="eastAsia"/>
          <w:b/>
          <w:bCs/>
          <w:sz w:val="24"/>
        </w:rPr>
        <w:t>8.5.1古城内学校建筑的耐火等级宜采用一二级；当采用三级耐火等级建筑时，不应超过2层；采用四级耐火等级建筑时，应为单层；设置在三级耐火等级的建筑内时，应布置在首层或二层；设置在四级耐火等级的建筑内时，应布置在首层。</w:t>
      </w:r>
    </w:p>
    <w:p>
      <w:pPr>
        <w:spacing w:line="360" w:lineRule="auto"/>
        <w:rPr>
          <w:sz w:val="24"/>
        </w:rPr>
      </w:pPr>
      <w:r>
        <w:rPr>
          <w:rFonts w:hint="eastAsia"/>
          <w:sz w:val="24"/>
        </w:rPr>
        <w:t>8.5.2 安全出口处不得设置门槛、台阶，疏散门应向外开启，不得采用卷帘门、转门、吊门和侧拉门，门口不得设置门帘、屏风等影响疏散的遮挡物。</w:t>
      </w:r>
    </w:p>
    <w:p>
      <w:pPr>
        <w:spacing w:line="360" w:lineRule="auto"/>
        <w:rPr>
          <w:sz w:val="24"/>
        </w:rPr>
      </w:pPr>
      <w:r>
        <w:rPr>
          <w:rFonts w:hint="eastAsia"/>
          <w:sz w:val="24"/>
        </w:rPr>
        <w:t>8.5.3 学校内部装修材料的燃烧性能，对于顶棚应采用A级，对于墙面不应低于B1级，其它部位不应低于B2级。</w:t>
      </w:r>
    </w:p>
    <w:p>
      <w:pPr>
        <w:spacing w:line="360" w:lineRule="auto"/>
        <w:rPr>
          <w:sz w:val="24"/>
        </w:rPr>
      </w:pPr>
      <w:r>
        <w:rPr>
          <w:rFonts w:hint="eastAsia"/>
          <w:sz w:val="24"/>
        </w:rPr>
        <w:t>8.5.4 学校内厨房应满足如下要求：</w:t>
      </w:r>
    </w:p>
    <w:p>
      <w:pPr>
        <w:spacing w:line="360" w:lineRule="auto"/>
        <w:ind w:firstLine="480" w:firstLineChars="200"/>
        <w:rPr>
          <w:sz w:val="24"/>
        </w:rPr>
      </w:pPr>
      <w:r>
        <w:rPr>
          <w:rFonts w:hint="eastAsia"/>
          <w:sz w:val="24"/>
        </w:rPr>
        <w:t>1本导则第7.1.2~7.1.5条相关要求；</w:t>
      </w:r>
    </w:p>
    <w:p>
      <w:pPr>
        <w:spacing w:line="360" w:lineRule="auto"/>
        <w:ind w:firstLine="480" w:firstLineChars="200"/>
        <w:rPr>
          <w:sz w:val="24"/>
        </w:rPr>
      </w:pPr>
      <w:r>
        <w:rPr>
          <w:rFonts w:hint="eastAsia"/>
          <w:sz w:val="24"/>
        </w:rPr>
        <w:t>2 瓶装液化气备用存储量不得超过10瓶，使用丙类液体作为燃料的，储量不应超过 100L，并应设置可燃气体探测报警装置；</w:t>
      </w:r>
    </w:p>
    <w:p>
      <w:pPr>
        <w:spacing w:line="360" w:lineRule="auto"/>
        <w:ind w:firstLine="480" w:firstLineChars="200"/>
        <w:rPr>
          <w:sz w:val="24"/>
        </w:rPr>
      </w:pPr>
      <w:r>
        <w:rPr>
          <w:rFonts w:hint="eastAsia"/>
          <w:sz w:val="24"/>
        </w:rPr>
        <w:t>3配置1块灭火毯；</w:t>
      </w:r>
    </w:p>
    <w:p>
      <w:pPr>
        <w:spacing w:line="360" w:lineRule="auto"/>
        <w:ind w:firstLine="480" w:firstLineChars="200"/>
        <w:rPr>
          <w:sz w:val="24"/>
        </w:rPr>
      </w:pPr>
      <w:r>
        <w:rPr>
          <w:rFonts w:hint="eastAsia"/>
          <w:sz w:val="24"/>
        </w:rPr>
        <w:t>4应每月对其油烟管道进行清洗1次。</w:t>
      </w:r>
    </w:p>
    <w:p>
      <w:pPr>
        <w:spacing w:line="360" w:lineRule="auto"/>
        <w:rPr>
          <w:sz w:val="24"/>
        </w:rPr>
      </w:pPr>
      <w:r>
        <w:rPr>
          <w:rFonts w:hint="eastAsia"/>
          <w:sz w:val="24"/>
        </w:rPr>
        <w:t>8.5.5 学校应按如下要求配置灭火设施和灭火器材：</w:t>
      </w:r>
    </w:p>
    <w:p>
      <w:pPr>
        <w:spacing w:line="360" w:lineRule="auto"/>
        <w:ind w:firstLine="480" w:firstLineChars="200"/>
        <w:rPr>
          <w:rFonts w:ascii="宋体" w:hAnsi="宋体" w:cs="宋体"/>
          <w:kern w:val="0"/>
          <w:sz w:val="24"/>
          <w:lang w:bidi="ar"/>
        </w:rPr>
      </w:pPr>
      <w:r>
        <w:rPr>
          <w:rFonts w:hint="eastAsia"/>
          <w:sz w:val="24"/>
        </w:rPr>
        <w:t>1 配置灭火器：按每 50 m</w:t>
      </w:r>
      <w:r>
        <w:rPr>
          <w:rFonts w:hint="eastAsia"/>
          <w:sz w:val="24"/>
          <w:vertAlign w:val="superscript"/>
        </w:rPr>
        <w:t>2</w:t>
      </w:r>
      <w:r>
        <w:rPr>
          <w:rFonts w:hint="eastAsia"/>
          <w:sz w:val="24"/>
        </w:rPr>
        <w:t>配置最小灭级别不小于 3A，每个点不少于 2 具且不多于 5 具，设有自动喷水灭火系统可以折减 30%；厨房、设备用房、发电机房等独立单元进行配置；最远点至灭火器放置点不应超过</w:t>
      </w:r>
      <w:r>
        <w:rPr>
          <w:rFonts w:hint="eastAsia" w:ascii="宋体" w:hAnsi="宋体" w:cs="宋体"/>
          <w:kern w:val="0"/>
          <w:sz w:val="24"/>
          <w:lang w:bidi="ar"/>
        </w:rPr>
        <w:t>15 米；</w:t>
      </w:r>
    </w:p>
    <w:p>
      <w:pPr>
        <w:spacing w:line="360" w:lineRule="auto"/>
        <w:ind w:firstLine="480" w:firstLineChars="200"/>
        <w:rPr>
          <w:kern w:val="0"/>
          <w:sz w:val="24"/>
          <w:lang w:bidi="ar"/>
        </w:rPr>
      </w:pPr>
      <w:r>
        <w:rPr>
          <w:rFonts w:hint="eastAsia"/>
          <w:kern w:val="0"/>
          <w:sz w:val="24"/>
          <w:lang w:bidi="ar"/>
        </w:rPr>
        <w:t>2</w:t>
      </w:r>
      <w:r>
        <w:rPr>
          <w:kern w:val="0"/>
          <w:sz w:val="24"/>
          <w:lang w:bidi="ar"/>
        </w:rPr>
        <w:t xml:space="preserve"> 配置室内消火栓：当建筑高度大于15m或</w:t>
      </w:r>
      <w:r>
        <w:rPr>
          <w:rFonts w:hint="eastAsia"/>
          <w:kern w:val="0"/>
          <w:sz w:val="24"/>
          <w:lang w:bidi="ar"/>
        </w:rPr>
        <w:t>体积大于</w:t>
      </w:r>
      <w:r>
        <w:rPr>
          <w:kern w:val="0"/>
          <w:sz w:val="24"/>
          <w:lang w:bidi="ar"/>
        </w:rPr>
        <w:t>10000m</w:t>
      </w:r>
      <w:r>
        <w:rPr>
          <w:kern w:val="0"/>
          <w:sz w:val="24"/>
          <w:vertAlign w:val="superscript"/>
          <w:lang w:bidi="ar"/>
        </w:rPr>
        <w:t>3</w:t>
      </w:r>
      <w:r>
        <w:rPr>
          <w:rFonts w:hint="eastAsia"/>
          <w:kern w:val="0"/>
          <w:sz w:val="24"/>
          <w:lang w:bidi="ar"/>
        </w:rPr>
        <w:t>时</w:t>
      </w:r>
      <w:r>
        <w:rPr>
          <w:kern w:val="0"/>
          <w:sz w:val="24"/>
          <w:lang w:bidi="ar"/>
        </w:rPr>
        <w:t>，应配置室内消火栓系统；</w:t>
      </w:r>
    </w:p>
    <w:p>
      <w:pPr>
        <w:spacing w:line="360" w:lineRule="auto"/>
        <w:ind w:firstLine="480" w:firstLineChars="200"/>
        <w:rPr>
          <w:sz w:val="24"/>
        </w:rPr>
      </w:pPr>
      <w:r>
        <w:rPr>
          <w:rFonts w:hint="eastAsia"/>
          <w:sz w:val="24"/>
        </w:rPr>
        <w:t xml:space="preserve">3 当处于5.2.4条所述高和极高蔓延风险区域时，应配置简易自动喷水灭火系统或自动喷水灭火系统； </w:t>
      </w:r>
    </w:p>
    <w:p>
      <w:pPr>
        <w:spacing w:line="360" w:lineRule="auto"/>
        <w:ind w:firstLine="480" w:firstLineChars="200"/>
        <w:rPr>
          <w:sz w:val="24"/>
        </w:rPr>
      </w:pPr>
      <w:r>
        <w:rPr>
          <w:rFonts w:hint="eastAsia"/>
          <w:sz w:val="24"/>
        </w:rPr>
        <w:t xml:space="preserve">4 应按6.1.3条要求设置消防点； </w:t>
      </w:r>
    </w:p>
    <w:p>
      <w:pPr>
        <w:spacing w:line="360" w:lineRule="auto"/>
        <w:ind w:firstLine="480" w:firstLineChars="200"/>
        <w:rPr>
          <w:sz w:val="24"/>
        </w:rPr>
      </w:pPr>
      <w:r>
        <w:rPr>
          <w:rFonts w:hint="eastAsia"/>
          <w:sz w:val="24"/>
        </w:rPr>
        <w:t xml:space="preserve">5 应当设置火灾事故应急照明灯，照明供电时间不低于30分钟，照度对于楼梯间不应低于10Lx，其它区域不应低于 5Lx，配置疏散指示标志，间距不大于 10 米； </w:t>
      </w:r>
    </w:p>
    <w:p>
      <w:pPr>
        <w:spacing w:line="360" w:lineRule="auto"/>
        <w:ind w:firstLine="480" w:firstLineChars="200"/>
        <w:rPr>
          <w:sz w:val="24"/>
        </w:rPr>
      </w:pPr>
      <w:r>
        <w:rPr>
          <w:rFonts w:hint="eastAsia"/>
          <w:sz w:val="24"/>
        </w:rPr>
        <w:t>6 应配备哨子、锣鼓、手持扩音器等警示提醒器材。</w:t>
      </w:r>
    </w:p>
    <w:p>
      <w:pPr>
        <w:spacing w:line="360" w:lineRule="auto"/>
        <w:rPr>
          <w:sz w:val="24"/>
        </w:rPr>
      </w:pPr>
      <w:r>
        <w:rPr>
          <w:rFonts w:hint="eastAsia"/>
          <w:sz w:val="24"/>
        </w:rPr>
        <w:t>8.5.6 学校用电除应满足本导则7.2节安全要求外，还应满足如下要求：</w:t>
      </w:r>
    </w:p>
    <w:p>
      <w:pPr>
        <w:spacing w:line="360" w:lineRule="auto"/>
        <w:ind w:firstLine="420" w:firstLineChars="175"/>
        <w:rPr>
          <w:sz w:val="24"/>
        </w:rPr>
      </w:pPr>
      <w:r>
        <w:rPr>
          <w:rFonts w:hint="eastAsia"/>
          <w:sz w:val="24"/>
        </w:rPr>
        <w:t>1 设置短路保护和过负荷保护装置；</w:t>
      </w:r>
    </w:p>
    <w:p>
      <w:pPr>
        <w:spacing w:line="360" w:lineRule="auto"/>
        <w:ind w:firstLine="420" w:firstLineChars="175"/>
        <w:rPr>
          <w:sz w:val="24"/>
        </w:rPr>
      </w:pPr>
      <w:r>
        <w:rPr>
          <w:rFonts w:hint="eastAsia"/>
          <w:sz w:val="24"/>
        </w:rPr>
        <w:t>2 寄宿类学校的宿舍的用电线路应设置电气火灾监控系统；</w:t>
      </w:r>
    </w:p>
    <w:p>
      <w:pPr>
        <w:spacing w:line="360" w:lineRule="auto"/>
        <w:ind w:firstLine="420" w:firstLineChars="175"/>
        <w:rPr>
          <w:sz w:val="24"/>
        </w:rPr>
      </w:pPr>
      <w:r>
        <w:rPr>
          <w:rFonts w:hint="eastAsia"/>
          <w:sz w:val="24"/>
        </w:rPr>
        <w:t>3 建筑面积超过1200m</w:t>
      </w:r>
      <w:r>
        <w:rPr>
          <w:rFonts w:hint="eastAsia"/>
          <w:sz w:val="24"/>
          <w:vertAlign w:val="superscript"/>
        </w:rPr>
        <w:t>2</w:t>
      </w:r>
      <w:r>
        <w:rPr>
          <w:rFonts w:hint="eastAsia"/>
          <w:sz w:val="24"/>
        </w:rPr>
        <w:t>时，用电线路应设置电气火灾监控系统；</w:t>
      </w:r>
    </w:p>
    <w:p>
      <w:pPr>
        <w:spacing w:line="360" w:lineRule="auto"/>
        <w:ind w:firstLine="420" w:firstLineChars="175"/>
        <w:rPr>
          <w:sz w:val="24"/>
        </w:rPr>
      </w:pPr>
      <w:r>
        <w:rPr>
          <w:rFonts w:hint="eastAsia"/>
          <w:sz w:val="24"/>
        </w:rPr>
        <w:t>4 当学校为各级文物保护单位时，用电线路上应设置电气火灾监控系统。</w:t>
      </w:r>
    </w:p>
    <w:p>
      <w:pPr>
        <w:pStyle w:val="3"/>
        <w:rPr>
          <w:sz w:val="30"/>
          <w:szCs w:val="30"/>
        </w:rPr>
      </w:pPr>
      <w:bookmarkStart w:id="22" w:name="_Toc8591"/>
      <w:r>
        <w:rPr>
          <w:rFonts w:hint="eastAsia"/>
          <w:sz w:val="30"/>
          <w:szCs w:val="30"/>
        </w:rPr>
        <w:t>8.6 客栈（酒店）</w:t>
      </w:r>
      <w:bookmarkEnd w:id="22"/>
    </w:p>
    <w:p>
      <w:pPr>
        <w:spacing w:line="360" w:lineRule="auto"/>
        <w:rPr>
          <w:b/>
          <w:bCs/>
          <w:sz w:val="24"/>
        </w:rPr>
      </w:pPr>
      <w:r>
        <w:rPr>
          <w:rFonts w:hint="eastAsia"/>
          <w:b/>
          <w:bCs/>
          <w:sz w:val="24"/>
        </w:rPr>
        <w:t>8.6.1客栈（酒店）内部装修材料的燃烧性能，对于顶棚和墙面不应低于B1级，其它部位不应低于B2级。</w:t>
      </w:r>
    </w:p>
    <w:p>
      <w:pPr>
        <w:spacing w:line="360" w:lineRule="auto"/>
        <w:rPr>
          <w:sz w:val="24"/>
        </w:rPr>
      </w:pPr>
      <w:r>
        <w:rPr>
          <w:rFonts w:hint="eastAsia"/>
          <w:sz w:val="24"/>
        </w:rPr>
        <w:t>8.6.2客房间数超过 10 间或建筑面积大于 400 m</w:t>
      </w:r>
      <w:r>
        <w:rPr>
          <w:rFonts w:hint="eastAsia"/>
          <w:sz w:val="24"/>
          <w:vertAlign w:val="superscript"/>
        </w:rPr>
        <w:t>2</w:t>
      </w:r>
      <w:r>
        <w:rPr>
          <w:rFonts w:hint="eastAsia"/>
          <w:sz w:val="24"/>
        </w:rPr>
        <w:t xml:space="preserve">的客栈（酒店）至少设置两个直通室外安全出口，两个出口之间的距离应大于5 米。 </w:t>
      </w:r>
    </w:p>
    <w:p>
      <w:pPr>
        <w:spacing w:line="360" w:lineRule="auto"/>
        <w:rPr>
          <w:sz w:val="24"/>
        </w:rPr>
      </w:pPr>
      <w:r>
        <w:rPr>
          <w:rFonts w:hint="eastAsia"/>
          <w:sz w:val="24"/>
        </w:rPr>
        <w:t>8.6.3酒店或客栈内厨房应满足如下要求：</w:t>
      </w:r>
    </w:p>
    <w:p>
      <w:pPr>
        <w:spacing w:line="360" w:lineRule="auto"/>
        <w:ind w:firstLine="480" w:firstLineChars="200"/>
        <w:rPr>
          <w:sz w:val="24"/>
        </w:rPr>
      </w:pPr>
      <w:r>
        <w:rPr>
          <w:rFonts w:hint="eastAsia"/>
          <w:sz w:val="24"/>
        </w:rPr>
        <w:t>1本导则第7.1.2~7.1.5条相关要求；</w:t>
      </w:r>
    </w:p>
    <w:p>
      <w:pPr>
        <w:spacing w:line="360" w:lineRule="auto"/>
        <w:ind w:firstLine="480" w:firstLineChars="200"/>
        <w:rPr>
          <w:sz w:val="24"/>
        </w:rPr>
      </w:pPr>
      <w:r>
        <w:rPr>
          <w:rFonts w:hint="eastAsia"/>
          <w:sz w:val="24"/>
        </w:rPr>
        <w:t>2 瓶装液化气备用存储量不得超过10瓶，使用丙类液体作为燃料的，储量不应超过 100L，并应设置可燃气体探测报警装置；</w:t>
      </w:r>
    </w:p>
    <w:p>
      <w:pPr>
        <w:spacing w:line="360" w:lineRule="auto"/>
        <w:ind w:firstLine="480" w:firstLineChars="200"/>
        <w:rPr>
          <w:sz w:val="24"/>
        </w:rPr>
      </w:pPr>
      <w:r>
        <w:rPr>
          <w:rFonts w:hint="eastAsia"/>
          <w:sz w:val="24"/>
        </w:rPr>
        <w:t>3配置1块灭火毯；</w:t>
      </w:r>
    </w:p>
    <w:p>
      <w:pPr>
        <w:spacing w:line="360" w:lineRule="auto"/>
        <w:ind w:firstLine="480" w:firstLineChars="200"/>
        <w:rPr>
          <w:sz w:val="24"/>
        </w:rPr>
      </w:pPr>
      <w:r>
        <w:rPr>
          <w:rFonts w:hint="eastAsia"/>
          <w:sz w:val="24"/>
        </w:rPr>
        <w:t>4应每月对其油烟管道进行清洗1次。</w:t>
      </w:r>
    </w:p>
    <w:p>
      <w:pPr>
        <w:spacing w:line="360" w:lineRule="auto"/>
        <w:rPr>
          <w:sz w:val="24"/>
        </w:rPr>
      </w:pPr>
      <w:r>
        <w:rPr>
          <w:rFonts w:hint="eastAsia"/>
          <w:sz w:val="24"/>
        </w:rPr>
        <w:t>8.6.4 酒店应按如下要求配置灭火设施和灭火器材：</w:t>
      </w:r>
    </w:p>
    <w:p>
      <w:pPr>
        <w:spacing w:line="360" w:lineRule="auto"/>
        <w:ind w:firstLine="480" w:firstLineChars="200"/>
        <w:rPr>
          <w:rFonts w:ascii="宋体" w:hAnsi="宋体" w:cs="宋体"/>
          <w:kern w:val="0"/>
          <w:sz w:val="24"/>
          <w:lang w:bidi="ar"/>
        </w:rPr>
      </w:pPr>
      <w:r>
        <w:rPr>
          <w:rFonts w:hint="eastAsia"/>
          <w:sz w:val="24"/>
        </w:rPr>
        <w:t>1 配置灭火器：按每 50 m</w:t>
      </w:r>
      <w:r>
        <w:rPr>
          <w:rFonts w:hint="eastAsia"/>
          <w:sz w:val="24"/>
          <w:vertAlign w:val="superscript"/>
        </w:rPr>
        <w:t>2</w:t>
      </w:r>
      <w:r>
        <w:rPr>
          <w:rFonts w:hint="eastAsia"/>
          <w:sz w:val="24"/>
        </w:rPr>
        <w:t>配置最小灭级别不小于 3A，每个点不少于 2 具且不多于 5 具，设有自动喷水灭火系统可以折减 30%；厨房、设备用房、发电机房等独立单元进行配置。最远点至灭火器放置点不应超过</w:t>
      </w:r>
      <w:r>
        <w:rPr>
          <w:rFonts w:hint="eastAsia" w:ascii="宋体" w:hAnsi="宋体" w:cs="宋体"/>
          <w:kern w:val="0"/>
          <w:sz w:val="24"/>
          <w:lang w:bidi="ar"/>
        </w:rPr>
        <w:t>15 米；</w:t>
      </w:r>
    </w:p>
    <w:p>
      <w:pPr>
        <w:spacing w:line="360" w:lineRule="auto"/>
        <w:ind w:firstLine="480" w:firstLineChars="200"/>
        <w:rPr>
          <w:kern w:val="0"/>
          <w:sz w:val="24"/>
          <w:lang w:bidi="ar"/>
        </w:rPr>
      </w:pPr>
      <w:r>
        <w:rPr>
          <w:kern w:val="0"/>
          <w:sz w:val="24"/>
          <w:lang w:bidi="ar"/>
        </w:rPr>
        <w:t>2 配置室内消火栓：建筑体积大于5000m</w:t>
      </w:r>
      <w:r>
        <w:rPr>
          <w:kern w:val="0"/>
          <w:sz w:val="24"/>
          <w:vertAlign w:val="superscript"/>
          <w:lang w:bidi="ar"/>
        </w:rPr>
        <w:t>3</w:t>
      </w:r>
      <w:r>
        <w:rPr>
          <w:kern w:val="0"/>
          <w:sz w:val="24"/>
          <w:lang w:bidi="ar"/>
        </w:rPr>
        <w:t>时，应设置室内消火栓，并可使用外设方式，达不到上述条件的，应配置消防软管卷盘或轻便消防水龙；</w:t>
      </w:r>
    </w:p>
    <w:p>
      <w:pPr>
        <w:spacing w:line="360" w:lineRule="auto"/>
        <w:ind w:firstLine="480" w:firstLineChars="200"/>
        <w:rPr>
          <w:sz w:val="24"/>
        </w:rPr>
      </w:pPr>
      <w:r>
        <w:rPr>
          <w:rFonts w:hint="eastAsia"/>
          <w:sz w:val="24"/>
        </w:rPr>
        <w:t>3 如下情况需配置简易自动喷水灭火系统或自动灭火系统：(1)四级耐火等级建筑面积超过600</w:t>
      </w:r>
      <w:r>
        <w:rPr>
          <w:rFonts w:hint="eastAsia"/>
          <w:sz w:val="24"/>
          <w:vertAlign w:val="superscript"/>
        </w:rPr>
        <w:t>2</w:t>
      </w:r>
      <w:r>
        <w:rPr>
          <w:rFonts w:hint="eastAsia"/>
          <w:sz w:val="24"/>
        </w:rPr>
        <w:t>或三级耐火等级超过1200m</w:t>
      </w:r>
      <w:r>
        <w:rPr>
          <w:rFonts w:hint="eastAsia"/>
          <w:sz w:val="24"/>
          <w:vertAlign w:val="superscript"/>
        </w:rPr>
        <w:t>2</w:t>
      </w:r>
      <w:r>
        <w:rPr>
          <w:rFonts w:hint="eastAsia"/>
          <w:sz w:val="24"/>
        </w:rPr>
        <w:t>；(2)处于6.2.4条所述高和极高蔓延风险区域；</w:t>
      </w:r>
    </w:p>
    <w:p>
      <w:pPr>
        <w:spacing w:line="360" w:lineRule="auto"/>
        <w:ind w:firstLine="480" w:firstLineChars="200"/>
        <w:rPr>
          <w:sz w:val="24"/>
        </w:rPr>
      </w:pPr>
      <w:r>
        <w:rPr>
          <w:rFonts w:hint="eastAsia"/>
          <w:sz w:val="24"/>
        </w:rPr>
        <w:t xml:space="preserve">4 设置机械排烟、防烟系统、气体灭火系统等需与火灾自动报警系统联锁动作的场所或部位应设置火灾自动报警系统，其余场所或部位应配置火灾自动报警系统或独立式感烟探测器； </w:t>
      </w:r>
    </w:p>
    <w:p>
      <w:pPr>
        <w:spacing w:line="360" w:lineRule="auto"/>
        <w:ind w:firstLine="480" w:firstLineChars="200"/>
        <w:rPr>
          <w:sz w:val="24"/>
        </w:rPr>
      </w:pPr>
      <w:r>
        <w:rPr>
          <w:rFonts w:hint="eastAsia"/>
          <w:sz w:val="24"/>
        </w:rPr>
        <w:t>5 建筑面积大于800m</w:t>
      </w:r>
      <w:r>
        <w:rPr>
          <w:rFonts w:hint="eastAsia"/>
          <w:sz w:val="24"/>
          <w:vertAlign w:val="superscript"/>
        </w:rPr>
        <w:t>2</w:t>
      </w:r>
      <w:r>
        <w:rPr>
          <w:rFonts w:hint="eastAsia"/>
          <w:sz w:val="24"/>
        </w:rPr>
        <w:t xml:space="preserve">时，应按6.1.3条要求设置消防点； </w:t>
      </w:r>
    </w:p>
    <w:p>
      <w:pPr>
        <w:spacing w:line="360" w:lineRule="auto"/>
        <w:ind w:firstLine="480" w:firstLineChars="200"/>
        <w:rPr>
          <w:sz w:val="24"/>
        </w:rPr>
      </w:pPr>
      <w:r>
        <w:rPr>
          <w:rFonts w:hint="eastAsia"/>
          <w:sz w:val="24"/>
        </w:rPr>
        <w:t xml:space="preserve">6 应当设置火灾事故应急照明灯，照明供电时间不低于30分钟，照度对于楼梯间不应低于10Lx，其它区域不应低于 5Lx，配置疏散指示标志，间距不大于 10 米； </w:t>
      </w:r>
    </w:p>
    <w:p>
      <w:pPr>
        <w:spacing w:line="360" w:lineRule="auto"/>
        <w:ind w:firstLine="480" w:firstLineChars="200"/>
        <w:rPr>
          <w:sz w:val="24"/>
        </w:rPr>
      </w:pPr>
      <w:r>
        <w:rPr>
          <w:rFonts w:hint="eastAsia"/>
          <w:sz w:val="24"/>
        </w:rPr>
        <w:t>7 场所应在明显部位设置消防安全提示、消防疏散通道、消防设施设备自发光提示牌。</w:t>
      </w:r>
    </w:p>
    <w:p>
      <w:pPr>
        <w:spacing w:line="360" w:lineRule="auto"/>
        <w:ind w:firstLine="480" w:firstLineChars="200"/>
        <w:rPr>
          <w:sz w:val="24"/>
        </w:rPr>
      </w:pPr>
      <w:r>
        <w:rPr>
          <w:rFonts w:hint="eastAsia"/>
          <w:sz w:val="24"/>
        </w:rPr>
        <w:t>8 应配备哨子、锣鼓、手持扩音器等警示提醒器材。</w:t>
      </w:r>
    </w:p>
    <w:p>
      <w:pPr>
        <w:spacing w:line="360" w:lineRule="auto"/>
        <w:rPr>
          <w:sz w:val="24"/>
        </w:rPr>
      </w:pPr>
      <w:r>
        <w:rPr>
          <w:rFonts w:hint="eastAsia"/>
          <w:sz w:val="24"/>
        </w:rPr>
        <w:t>8.6.5 客栈用电除应满足本导则7.2节安全要求外，还应满足如下要求：</w:t>
      </w:r>
    </w:p>
    <w:p>
      <w:pPr>
        <w:spacing w:line="360" w:lineRule="auto"/>
        <w:ind w:firstLine="420" w:firstLineChars="175"/>
        <w:rPr>
          <w:sz w:val="24"/>
        </w:rPr>
      </w:pPr>
      <w:r>
        <w:rPr>
          <w:rFonts w:hint="eastAsia"/>
          <w:sz w:val="24"/>
        </w:rPr>
        <w:t>1 设置短路保护器和过负荷保护；</w:t>
      </w:r>
    </w:p>
    <w:p>
      <w:pPr>
        <w:spacing w:line="360" w:lineRule="auto"/>
        <w:ind w:firstLine="420" w:firstLineChars="175"/>
        <w:rPr>
          <w:sz w:val="24"/>
        </w:rPr>
      </w:pPr>
      <w:r>
        <w:rPr>
          <w:rFonts w:hint="eastAsia"/>
          <w:sz w:val="24"/>
        </w:rPr>
        <w:t>2 建筑面积超过1200m</w:t>
      </w:r>
      <w:r>
        <w:rPr>
          <w:rFonts w:hint="eastAsia"/>
          <w:sz w:val="24"/>
          <w:vertAlign w:val="superscript"/>
        </w:rPr>
        <w:t>2</w:t>
      </w:r>
      <w:r>
        <w:rPr>
          <w:rFonts w:hint="eastAsia"/>
          <w:sz w:val="24"/>
        </w:rPr>
        <w:t>时，用电线路应设置电气火灾监控系统；</w:t>
      </w:r>
    </w:p>
    <w:p>
      <w:pPr>
        <w:spacing w:line="360" w:lineRule="auto"/>
        <w:ind w:firstLine="420" w:firstLineChars="175"/>
        <w:rPr>
          <w:sz w:val="24"/>
        </w:rPr>
      </w:pPr>
      <w:r>
        <w:rPr>
          <w:rFonts w:hint="eastAsia"/>
          <w:sz w:val="24"/>
        </w:rPr>
        <w:t>3 当客栈为各级文物保护单位时，用电线路上应设置电气火灾监控系统。</w:t>
      </w:r>
    </w:p>
    <w:p>
      <w:pPr>
        <w:pStyle w:val="3"/>
        <w:rPr>
          <w:sz w:val="30"/>
          <w:szCs w:val="30"/>
        </w:rPr>
      </w:pPr>
      <w:bookmarkStart w:id="23" w:name="_Toc14995"/>
      <w:r>
        <w:rPr>
          <w:rFonts w:hint="eastAsia"/>
          <w:sz w:val="30"/>
          <w:szCs w:val="30"/>
        </w:rPr>
        <w:t>8.7 商铺</w:t>
      </w:r>
      <w:bookmarkEnd w:id="23"/>
    </w:p>
    <w:p>
      <w:pPr>
        <w:spacing w:line="360" w:lineRule="auto"/>
        <w:rPr>
          <w:b/>
          <w:bCs/>
          <w:sz w:val="24"/>
        </w:rPr>
      </w:pPr>
      <w:r>
        <w:rPr>
          <w:rFonts w:hint="eastAsia"/>
          <w:b/>
          <w:bCs/>
          <w:sz w:val="24"/>
        </w:rPr>
        <w:t>8.7.1商铺内部装修材料的燃烧性能，对于顶棚应采用A级，对于墙面、地面、隔断、固定家具、窗帘等不应低于B1级，其它部位不应低于B2级。</w:t>
      </w:r>
    </w:p>
    <w:p>
      <w:pPr>
        <w:spacing w:line="360" w:lineRule="auto"/>
        <w:rPr>
          <w:sz w:val="24"/>
        </w:rPr>
      </w:pPr>
      <w:r>
        <w:rPr>
          <w:rFonts w:hint="eastAsia"/>
          <w:sz w:val="24"/>
        </w:rPr>
        <w:t>8.7.2 商铺应按如下要求配置灭火设施和灭火器材：</w:t>
      </w:r>
    </w:p>
    <w:p>
      <w:pPr>
        <w:spacing w:line="360" w:lineRule="auto"/>
        <w:ind w:firstLine="480" w:firstLineChars="200"/>
        <w:rPr>
          <w:rFonts w:ascii="宋体" w:hAnsi="宋体" w:cs="宋体"/>
          <w:kern w:val="0"/>
          <w:sz w:val="24"/>
          <w:lang w:bidi="ar"/>
        </w:rPr>
      </w:pPr>
      <w:r>
        <w:rPr>
          <w:rFonts w:hint="eastAsia"/>
          <w:sz w:val="24"/>
        </w:rPr>
        <w:t>1 配置灭火器：按每 50 m</w:t>
      </w:r>
      <w:r>
        <w:rPr>
          <w:rFonts w:hint="eastAsia"/>
          <w:sz w:val="24"/>
          <w:vertAlign w:val="superscript"/>
        </w:rPr>
        <w:t>2</w:t>
      </w:r>
      <w:r>
        <w:rPr>
          <w:rFonts w:hint="eastAsia"/>
          <w:sz w:val="24"/>
        </w:rPr>
        <w:t>配置最小灭级别不小于 3A，每个点不少于 2 具且不多于 5 具，设有自动喷水灭火系统可以折减 30%；厨房、设备用房、发电机房等独立单元进行配置。最远点至灭火器放置点不应超过</w:t>
      </w:r>
      <w:r>
        <w:rPr>
          <w:rFonts w:hint="eastAsia" w:ascii="宋体" w:hAnsi="宋体" w:cs="宋体"/>
          <w:kern w:val="0"/>
          <w:sz w:val="24"/>
          <w:lang w:bidi="ar"/>
        </w:rPr>
        <w:t>15 米；</w:t>
      </w:r>
    </w:p>
    <w:p>
      <w:pPr>
        <w:spacing w:line="360" w:lineRule="auto"/>
        <w:ind w:firstLine="480" w:firstLineChars="200"/>
        <w:rPr>
          <w:kern w:val="0"/>
          <w:sz w:val="24"/>
          <w:lang w:bidi="ar"/>
        </w:rPr>
      </w:pPr>
      <w:r>
        <w:rPr>
          <w:kern w:val="0"/>
          <w:sz w:val="24"/>
          <w:lang w:bidi="ar"/>
        </w:rPr>
        <w:t>2 配置室内消火栓：建筑体积大于5000m</w:t>
      </w:r>
      <w:r>
        <w:rPr>
          <w:kern w:val="0"/>
          <w:sz w:val="24"/>
          <w:vertAlign w:val="superscript"/>
          <w:lang w:bidi="ar"/>
        </w:rPr>
        <w:t>3</w:t>
      </w:r>
      <w:r>
        <w:rPr>
          <w:kern w:val="0"/>
          <w:sz w:val="24"/>
          <w:lang w:bidi="ar"/>
        </w:rPr>
        <w:t>时，应设置室内消火栓，并可使用外设方式</w:t>
      </w:r>
      <w:r>
        <w:rPr>
          <w:rFonts w:hint="eastAsia"/>
          <w:kern w:val="0"/>
          <w:sz w:val="24"/>
          <w:lang w:bidi="ar"/>
        </w:rPr>
        <w:t>，达不到上述条件且建筑面积超过200m</w:t>
      </w:r>
      <w:r>
        <w:rPr>
          <w:rFonts w:hint="eastAsia"/>
          <w:kern w:val="0"/>
          <w:sz w:val="24"/>
          <w:vertAlign w:val="superscript"/>
          <w:lang w:bidi="ar"/>
        </w:rPr>
        <w:t>2</w:t>
      </w:r>
      <w:r>
        <w:rPr>
          <w:rFonts w:hint="eastAsia"/>
          <w:kern w:val="0"/>
          <w:sz w:val="24"/>
          <w:lang w:bidi="ar"/>
        </w:rPr>
        <w:t>的，应配置消防软管卷盘或轻便消防水龙</w:t>
      </w:r>
      <w:r>
        <w:rPr>
          <w:kern w:val="0"/>
          <w:sz w:val="24"/>
          <w:lang w:bidi="ar"/>
        </w:rPr>
        <w:t>；</w:t>
      </w:r>
    </w:p>
    <w:p>
      <w:pPr>
        <w:spacing w:line="360" w:lineRule="auto"/>
        <w:ind w:firstLine="480" w:firstLineChars="200"/>
        <w:rPr>
          <w:sz w:val="24"/>
        </w:rPr>
      </w:pPr>
      <w:r>
        <w:rPr>
          <w:rFonts w:hint="eastAsia"/>
          <w:sz w:val="24"/>
        </w:rPr>
        <w:t>3 如下情况需配置简易自动喷水灭火系统或自动灭火系统：(1)四级耐火等级建筑面积超过600</w:t>
      </w:r>
      <w:r>
        <w:rPr>
          <w:rFonts w:hint="eastAsia"/>
          <w:sz w:val="24"/>
          <w:vertAlign w:val="superscript"/>
        </w:rPr>
        <w:t>2</w:t>
      </w:r>
      <w:r>
        <w:rPr>
          <w:rFonts w:hint="eastAsia"/>
          <w:sz w:val="24"/>
        </w:rPr>
        <w:t>或三级耐火等级超过1200m</w:t>
      </w:r>
      <w:r>
        <w:rPr>
          <w:rFonts w:hint="eastAsia"/>
          <w:sz w:val="24"/>
          <w:vertAlign w:val="superscript"/>
        </w:rPr>
        <w:t>2</w:t>
      </w:r>
      <w:r>
        <w:rPr>
          <w:rFonts w:hint="eastAsia"/>
          <w:sz w:val="24"/>
        </w:rPr>
        <w:t>；(2)处于6.2.4条所述高和极高蔓延风险区域；</w:t>
      </w:r>
    </w:p>
    <w:p>
      <w:pPr>
        <w:spacing w:line="360" w:lineRule="auto"/>
        <w:ind w:firstLine="480" w:firstLineChars="200"/>
        <w:rPr>
          <w:sz w:val="24"/>
        </w:rPr>
      </w:pPr>
      <w:r>
        <w:rPr>
          <w:rFonts w:hint="eastAsia"/>
          <w:sz w:val="24"/>
        </w:rPr>
        <w:t xml:space="preserve">4 设置机械排烟、防烟系统、气体灭火系统等需与火灾自动报警系统联锁动作的场所或部位应设置火灾自动报警系统，其余场所或部位应配置火灾自动报警系统或独立式感烟探测器； </w:t>
      </w:r>
    </w:p>
    <w:p>
      <w:pPr>
        <w:spacing w:line="360" w:lineRule="auto"/>
        <w:ind w:firstLine="480" w:firstLineChars="200"/>
        <w:rPr>
          <w:sz w:val="24"/>
        </w:rPr>
      </w:pPr>
      <w:r>
        <w:rPr>
          <w:rFonts w:hint="eastAsia"/>
          <w:sz w:val="24"/>
        </w:rPr>
        <w:t>5 建筑面积大于800m</w:t>
      </w:r>
      <w:r>
        <w:rPr>
          <w:rFonts w:hint="eastAsia"/>
          <w:sz w:val="24"/>
          <w:vertAlign w:val="superscript"/>
        </w:rPr>
        <w:t>2</w:t>
      </w:r>
      <w:r>
        <w:rPr>
          <w:rFonts w:hint="eastAsia"/>
          <w:sz w:val="24"/>
        </w:rPr>
        <w:t xml:space="preserve">时，应按6.1.3条要求设置消防点； </w:t>
      </w:r>
    </w:p>
    <w:p>
      <w:pPr>
        <w:spacing w:line="360" w:lineRule="auto"/>
        <w:ind w:firstLine="480" w:firstLineChars="200"/>
        <w:rPr>
          <w:sz w:val="24"/>
        </w:rPr>
      </w:pPr>
      <w:r>
        <w:rPr>
          <w:rFonts w:hint="eastAsia"/>
          <w:sz w:val="24"/>
        </w:rPr>
        <w:t xml:space="preserve">6 应当设置火灾事故应急照明灯，照明供电时间不低于30分钟，照度对于楼梯间不应低于10Lx，其它区域不应低于 5Lx，配置疏散指示标志，间距不大于 10 米； </w:t>
      </w:r>
    </w:p>
    <w:p>
      <w:pPr>
        <w:spacing w:line="360" w:lineRule="auto"/>
        <w:ind w:firstLine="480" w:firstLineChars="200"/>
        <w:rPr>
          <w:sz w:val="24"/>
        </w:rPr>
      </w:pPr>
      <w:r>
        <w:rPr>
          <w:rFonts w:hint="eastAsia"/>
          <w:sz w:val="24"/>
        </w:rPr>
        <w:t>7 场所应在明显部位设置消防安全提示、消防疏散通道、消防设施设备自发光提示牌。</w:t>
      </w:r>
    </w:p>
    <w:p>
      <w:pPr>
        <w:spacing w:line="360" w:lineRule="auto"/>
        <w:rPr>
          <w:sz w:val="24"/>
        </w:rPr>
      </w:pPr>
      <w:r>
        <w:rPr>
          <w:rFonts w:hint="eastAsia"/>
          <w:sz w:val="24"/>
        </w:rPr>
        <w:t>8.7.3 商铺用电除应满足本导则7.2节安全要求外，还应满足如下要求：</w:t>
      </w:r>
    </w:p>
    <w:p>
      <w:pPr>
        <w:spacing w:line="360" w:lineRule="auto"/>
        <w:ind w:firstLine="420" w:firstLineChars="175"/>
        <w:rPr>
          <w:sz w:val="24"/>
        </w:rPr>
      </w:pPr>
      <w:r>
        <w:rPr>
          <w:rFonts w:hint="eastAsia"/>
          <w:sz w:val="24"/>
        </w:rPr>
        <w:t>1 设置短路保护和过负荷保护；</w:t>
      </w:r>
    </w:p>
    <w:p>
      <w:pPr>
        <w:spacing w:line="360" w:lineRule="auto"/>
        <w:ind w:firstLine="420" w:firstLineChars="175"/>
        <w:rPr>
          <w:sz w:val="24"/>
        </w:rPr>
      </w:pPr>
      <w:r>
        <w:rPr>
          <w:rFonts w:hint="eastAsia"/>
          <w:sz w:val="24"/>
        </w:rPr>
        <w:t>2 建筑面积超过1200m</w:t>
      </w:r>
      <w:r>
        <w:rPr>
          <w:rFonts w:hint="eastAsia"/>
          <w:sz w:val="24"/>
          <w:vertAlign w:val="superscript"/>
        </w:rPr>
        <w:t>2</w:t>
      </w:r>
      <w:r>
        <w:rPr>
          <w:rFonts w:hint="eastAsia"/>
          <w:sz w:val="24"/>
        </w:rPr>
        <w:t>时，用电线路应设置电气火灾监控系统。</w:t>
      </w:r>
    </w:p>
    <w:p>
      <w:pPr>
        <w:pStyle w:val="3"/>
        <w:rPr>
          <w:sz w:val="30"/>
          <w:szCs w:val="30"/>
        </w:rPr>
      </w:pPr>
      <w:bookmarkStart w:id="24" w:name="_Toc25778"/>
      <w:r>
        <w:rPr>
          <w:rFonts w:hint="eastAsia"/>
          <w:sz w:val="30"/>
          <w:szCs w:val="30"/>
        </w:rPr>
        <w:t>8.8 公共娱乐场所</w:t>
      </w:r>
      <w:bookmarkEnd w:id="24"/>
    </w:p>
    <w:p>
      <w:pPr>
        <w:spacing w:line="360" w:lineRule="auto"/>
        <w:rPr>
          <w:b/>
          <w:bCs/>
          <w:sz w:val="24"/>
        </w:rPr>
      </w:pPr>
      <w:r>
        <w:rPr>
          <w:rFonts w:hint="eastAsia"/>
          <w:b/>
          <w:bCs/>
          <w:sz w:val="24"/>
        </w:rPr>
        <w:t>8.8.1公共娱乐场所内装修装饰材料，对于顶棚应选用A级，其它部位不得低于B1级，严禁使用B2、B3级材料。</w:t>
      </w:r>
    </w:p>
    <w:p>
      <w:pPr>
        <w:spacing w:line="360" w:lineRule="auto"/>
        <w:rPr>
          <w:sz w:val="24"/>
        </w:rPr>
      </w:pPr>
      <w:r>
        <w:rPr>
          <w:rFonts w:hint="eastAsia"/>
          <w:sz w:val="24"/>
        </w:rPr>
        <w:t>8.8.2 公共娱乐场所应按如下要求配置灭火设施和灭火器材：</w:t>
      </w:r>
    </w:p>
    <w:p>
      <w:pPr>
        <w:spacing w:line="360" w:lineRule="auto"/>
        <w:ind w:firstLine="480" w:firstLineChars="200"/>
        <w:rPr>
          <w:rFonts w:ascii="宋体" w:hAnsi="宋体" w:cs="宋体"/>
          <w:kern w:val="0"/>
          <w:sz w:val="24"/>
          <w:lang w:bidi="ar"/>
        </w:rPr>
      </w:pPr>
      <w:r>
        <w:rPr>
          <w:rFonts w:hint="eastAsia"/>
          <w:sz w:val="24"/>
        </w:rPr>
        <w:t>1 配置灭火器：按每 50 m</w:t>
      </w:r>
      <w:r>
        <w:rPr>
          <w:rFonts w:hint="eastAsia"/>
          <w:sz w:val="24"/>
          <w:vertAlign w:val="superscript"/>
        </w:rPr>
        <w:t>2</w:t>
      </w:r>
      <w:r>
        <w:rPr>
          <w:rFonts w:hint="eastAsia"/>
          <w:sz w:val="24"/>
        </w:rPr>
        <w:t>配置最小灭级别不小于 3A，每个点不少于 2 具且不多于 5 具，设有自动喷水灭火系统可以折减 30%；厨房、设备用房、发电机房等独立单元进行配置。最远点至灭火器放置点不应超过</w:t>
      </w:r>
      <w:r>
        <w:rPr>
          <w:rFonts w:hint="eastAsia" w:ascii="宋体" w:hAnsi="宋体" w:cs="宋体"/>
          <w:kern w:val="0"/>
          <w:sz w:val="24"/>
          <w:lang w:bidi="ar"/>
        </w:rPr>
        <w:t>15 米；</w:t>
      </w:r>
    </w:p>
    <w:p>
      <w:pPr>
        <w:spacing w:line="360" w:lineRule="auto"/>
        <w:ind w:firstLine="480" w:firstLineChars="200"/>
        <w:rPr>
          <w:rFonts w:ascii="宋体" w:hAnsi="宋体" w:cs="宋体"/>
          <w:kern w:val="0"/>
          <w:sz w:val="24"/>
          <w:lang w:bidi="ar"/>
        </w:rPr>
      </w:pPr>
      <w:r>
        <w:rPr>
          <w:rFonts w:hint="eastAsia" w:ascii="宋体" w:hAnsi="宋体" w:cs="宋体"/>
          <w:kern w:val="0"/>
          <w:sz w:val="24"/>
          <w:lang w:bidi="ar"/>
        </w:rPr>
        <w:t>2 配置消防软管卷盘和消防水龙；</w:t>
      </w:r>
    </w:p>
    <w:p>
      <w:pPr>
        <w:spacing w:line="360" w:lineRule="auto"/>
        <w:ind w:firstLine="480" w:firstLineChars="200"/>
        <w:rPr>
          <w:sz w:val="24"/>
        </w:rPr>
      </w:pPr>
      <w:r>
        <w:rPr>
          <w:rFonts w:hint="eastAsia"/>
          <w:sz w:val="24"/>
        </w:rPr>
        <w:t>3 如下情况需配置简易自动喷水灭火系统或自动灭火系统：(1)建筑面积超过300</w:t>
      </w:r>
      <w:r>
        <w:rPr>
          <w:rFonts w:hint="eastAsia"/>
          <w:sz w:val="24"/>
          <w:vertAlign w:val="superscript"/>
        </w:rPr>
        <w:t>2</w:t>
      </w:r>
      <w:r>
        <w:rPr>
          <w:rFonts w:hint="eastAsia"/>
          <w:sz w:val="24"/>
        </w:rPr>
        <w:t>；(2)处于6.2.4条所述高和极高蔓延风险区域；</w:t>
      </w:r>
    </w:p>
    <w:p>
      <w:pPr>
        <w:spacing w:line="360" w:lineRule="auto"/>
        <w:ind w:firstLine="480" w:firstLineChars="200"/>
        <w:rPr>
          <w:sz w:val="24"/>
        </w:rPr>
      </w:pPr>
      <w:r>
        <w:rPr>
          <w:rFonts w:hint="eastAsia"/>
          <w:sz w:val="24"/>
        </w:rPr>
        <w:t xml:space="preserve">4 应配置火灾自动报警系统； </w:t>
      </w:r>
    </w:p>
    <w:p>
      <w:pPr>
        <w:spacing w:line="360" w:lineRule="auto"/>
        <w:ind w:firstLine="480" w:firstLineChars="200"/>
        <w:rPr>
          <w:sz w:val="24"/>
        </w:rPr>
      </w:pPr>
      <w:r>
        <w:rPr>
          <w:rFonts w:hint="eastAsia"/>
          <w:sz w:val="24"/>
        </w:rPr>
        <w:t>5 建筑面积大于300m</w:t>
      </w:r>
      <w:r>
        <w:rPr>
          <w:rFonts w:hint="eastAsia"/>
          <w:sz w:val="24"/>
          <w:vertAlign w:val="superscript"/>
        </w:rPr>
        <w:t>2</w:t>
      </w:r>
      <w:r>
        <w:rPr>
          <w:rFonts w:hint="eastAsia"/>
          <w:sz w:val="24"/>
        </w:rPr>
        <w:t xml:space="preserve">时，应按6.1.3条要求设置消防点； </w:t>
      </w:r>
    </w:p>
    <w:p>
      <w:pPr>
        <w:spacing w:line="360" w:lineRule="auto"/>
        <w:ind w:firstLine="480" w:firstLineChars="200"/>
        <w:rPr>
          <w:sz w:val="24"/>
        </w:rPr>
      </w:pPr>
      <w:r>
        <w:rPr>
          <w:rFonts w:hint="eastAsia"/>
          <w:sz w:val="24"/>
        </w:rPr>
        <w:t xml:space="preserve">6 应当设置火灾事故应急照明灯，照明供电时间不低于30分钟，照度对于楼梯间不应低于10Lx，其它区域不应低于 5Lx，配置疏散指示标志，间距不大于 10 米； </w:t>
      </w:r>
    </w:p>
    <w:p>
      <w:pPr>
        <w:spacing w:line="360" w:lineRule="auto"/>
        <w:ind w:firstLine="480" w:firstLineChars="200"/>
        <w:rPr>
          <w:sz w:val="24"/>
        </w:rPr>
      </w:pPr>
      <w:r>
        <w:rPr>
          <w:rFonts w:hint="eastAsia"/>
          <w:sz w:val="24"/>
        </w:rPr>
        <w:t>7 场所应在明显部位设置消防安全提示、消防疏散通道、消防设施设备自发光提示牌。</w:t>
      </w:r>
    </w:p>
    <w:p>
      <w:pPr>
        <w:spacing w:line="360" w:lineRule="auto"/>
        <w:ind w:firstLine="480" w:firstLineChars="200"/>
        <w:rPr>
          <w:sz w:val="24"/>
        </w:rPr>
      </w:pPr>
      <w:r>
        <w:rPr>
          <w:rFonts w:hint="eastAsia"/>
          <w:sz w:val="24"/>
        </w:rPr>
        <w:t>8 应配备哨子、锣鼓、手持扩音器等警示提醒器材。</w:t>
      </w:r>
    </w:p>
    <w:p>
      <w:pPr>
        <w:spacing w:line="360" w:lineRule="auto"/>
        <w:rPr>
          <w:sz w:val="24"/>
        </w:rPr>
      </w:pPr>
      <w:r>
        <w:rPr>
          <w:rFonts w:hint="eastAsia"/>
          <w:sz w:val="24"/>
        </w:rPr>
        <w:t>8.8.3 公共娱乐场所用电除应满足本导则7.2节安全要求外，还应满足如下要求：</w:t>
      </w:r>
    </w:p>
    <w:p>
      <w:pPr>
        <w:spacing w:line="360" w:lineRule="auto"/>
        <w:ind w:firstLine="420" w:firstLineChars="175"/>
        <w:rPr>
          <w:sz w:val="24"/>
        </w:rPr>
      </w:pPr>
      <w:r>
        <w:rPr>
          <w:rFonts w:hint="eastAsia"/>
          <w:sz w:val="24"/>
        </w:rPr>
        <w:t>1 设置短路保护和过负荷保护装置；</w:t>
      </w:r>
    </w:p>
    <w:p>
      <w:pPr>
        <w:spacing w:line="360" w:lineRule="auto"/>
        <w:ind w:firstLine="420" w:firstLineChars="175"/>
        <w:rPr>
          <w:sz w:val="24"/>
        </w:rPr>
      </w:pPr>
      <w:r>
        <w:rPr>
          <w:rFonts w:hint="eastAsia"/>
          <w:sz w:val="24"/>
        </w:rPr>
        <w:t>2 任意层建筑面积超过300m</w:t>
      </w:r>
      <w:r>
        <w:rPr>
          <w:rFonts w:hint="eastAsia"/>
          <w:sz w:val="24"/>
          <w:vertAlign w:val="superscript"/>
        </w:rPr>
        <w:t>2</w:t>
      </w:r>
      <w:r>
        <w:rPr>
          <w:rFonts w:hint="eastAsia"/>
          <w:sz w:val="24"/>
        </w:rPr>
        <w:t>时，用电线路应设置电气火灾监控系统。</w:t>
      </w:r>
    </w:p>
    <w:p/>
    <w:p>
      <w:pPr>
        <w:pStyle w:val="3"/>
        <w:rPr>
          <w:sz w:val="30"/>
          <w:szCs w:val="30"/>
        </w:rPr>
      </w:pPr>
      <w:bookmarkStart w:id="25" w:name="_Toc9345"/>
      <w:r>
        <w:rPr>
          <w:rFonts w:hint="eastAsia"/>
          <w:sz w:val="30"/>
          <w:szCs w:val="30"/>
        </w:rPr>
        <w:t>8.9 餐饮场所</w:t>
      </w:r>
      <w:bookmarkEnd w:id="25"/>
    </w:p>
    <w:p>
      <w:pPr>
        <w:spacing w:line="360" w:lineRule="auto"/>
        <w:rPr>
          <w:b/>
          <w:bCs/>
          <w:sz w:val="24"/>
        </w:rPr>
      </w:pPr>
      <w:r>
        <w:rPr>
          <w:rFonts w:hint="eastAsia"/>
          <w:b/>
          <w:bCs/>
          <w:sz w:val="24"/>
        </w:rPr>
        <w:t>8.9.1餐饮场所内部装修材料的燃烧性能，对于顶棚应采用A级，对于墙面、地面、隔断、窗帘等不应低于B1级，固定家具和其它部位不应低于B2级。</w:t>
      </w:r>
    </w:p>
    <w:p>
      <w:pPr>
        <w:spacing w:line="360" w:lineRule="auto"/>
        <w:rPr>
          <w:sz w:val="24"/>
        </w:rPr>
      </w:pPr>
      <w:r>
        <w:rPr>
          <w:rFonts w:hint="eastAsia"/>
          <w:sz w:val="24"/>
        </w:rPr>
        <w:t>8.9.2餐饮场厨房应满足如下要求：</w:t>
      </w:r>
    </w:p>
    <w:p>
      <w:pPr>
        <w:spacing w:line="360" w:lineRule="auto"/>
        <w:ind w:firstLine="480" w:firstLineChars="200"/>
        <w:rPr>
          <w:sz w:val="24"/>
        </w:rPr>
      </w:pPr>
      <w:r>
        <w:rPr>
          <w:rFonts w:hint="eastAsia"/>
          <w:sz w:val="24"/>
        </w:rPr>
        <w:t>1本导则第7.1.2~7.1.5条相关要求；</w:t>
      </w:r>
    </w:p>
    <w:p>
      <w:pPr>
        <w:spacing w:line="360" w:lineRule="auto"/>
        <w:ind w:firstLine="480" w:firstLineChars="200"/>
        <w:rPr>
          <w:sz w:val="24"/>
        </w:rPr>
      </w:pPr>
      <w:r>
        <w:rPr>
          <w:rFonts w:hint="eastAsia"/>
          <w:sz w:val="24"/>
        </w:rPr>
        <w:t>2 瓶装液化气存量不得超过10瓶，使用丙类液体作为燃料的，储量不应超过 100L，并应设置可燃气体探测报警装置；</w:t>
      </w:r>
    </w:p>
    <w:p>
      <w:pPr>
        <w:spacing w:line="360" w:lineRule="auto"/>
        <w:ind w:firstLine="480" w:firstLineChars="200"/>
        <w:rPr>
          <w:sz w:val="24"/>
        </w:rPr>
      </w:pPr>
      <w:r>
        <w:rPr>
          <w:rFonts w:hint="eastAsia"/>
          <w:sz w:val="24"/>
        </w:rPr>
        <w:t>3配置1块灭火毯；</w:t>
      </w:r>
    </w:p>
    <w:p>
      <w:pPr>
        <w:spacing w:line="360" w:lineRule="auto"/>
        <w:ind w:firstLine="480" w:firstLineChars="200"/>
        <w:rPr>
          <w:sz w:val="24"/>
        </w:rPr>
      </w:pPr>
      <w:r>
        <w:rPr>
          <w:rFonts w:hint="eastAsia"/>
          <w:sz w:val="24"/>
        </w:rPr>
        <w:t>4应每月对其油烟管道进行清洗1次。</w:t>
      </w:r>
    </w:p>
    <w:p>
      <w:pPr>
        <w:spacing w:line="360" w:lineRule="auto"/>
        <w:rPr>
          <w:sz w:val="24"/>
        </w:rPr>
      </w:pPr>
      <w:r>
        <w:rPr>
          <w:rFonts w:hint="eastAsia"/>
          <w:sz w:val="24"/>
        </w:rPr>
        <w:t>8.9.3 餐饮场所应按如下要求配置灭火设施和灭火器材：</w:t>
      </w:r>
    </w:p>
    <w:p>
      <w:pPr>
        <w:spacing w:line="360" w:lineRule="auto"/>
        <w:ind w:firstLine="480" w:firstLineChars="200"/>
        <w:rPr>
          <w:rFonts w:ascii="宋体" w:hAnsi="宋体" w:cs="宋体"/>
          <w:kern w:val="0"/>
          <w:sz w:val="24"/>
          <w:lang w:bidi="ar"/>
        </w:rPr>
      </w:pPr>
      <w:r>
        <w:rPr>
          <w:rFonts w:hint="eastAsia"/>
          <w:sz w:val="24"/>
        </w:rPr>
        <w:t>1 配置灭火器：按每 50 m</w:t>
      </w:r>
      <w:r>
        <w:rPr>
          <w:rFonts w:hint="eastAsia"/>
          <w:sz w:val="24"/>
          <w:vertAlign w:val="superscript"/>
        </w:rPr>
        <w:t>2</w:t>
      </w:r>
      <w:r>
        <w:rPr>
          <w:rFonts w:hint="eastAsia"/>
          <w:sz w:val="24"/>
        </w:rPr>
        <w:t>配置最小灭级别不小于 3A，每个点不少于 2 具且不多于 5 具，设有自动喷水灭火系统可以折减 30%；厨房、设备用房、发电机房等独立单元进行配置。最远点至灭火器放置点不应超过</w:t>
      </w:r>
      <w:r>
        <w:rPr>
          <w:rFonts w:hint="eastAsia" w:ascii="宋体" w:hAnsi="宋体" w:cs="宋体"/>
          <w:kern w:val="0"/>
          <w:sz w:val="24"/>
          <w:lang w:bidi="ar"/>
        </w:rPr>
        <w:t>15 米；</w:t>
      </w:r>
    </w:p>
    <w:p>
      <w:pPr>
        <w:spacing w:line="360" w:lineRule="auto"/>
        <w:ind w:firstLine="480" w:firstLineChars="200"/>
        <w:rPr>
          <w:rFonts w:ascii="宋体" w:hAnsi="宋体" w:cs="宋体"/>
          <w:kern w:val="0"/>
          <w:sz w:val="24"/>
          <w:lang w:bidi="ar"/>
        </w:rPr>
      </w:pPr>
      <w:r>
        <w:rPr>
          <w:rFonts w:hint="eastAsia" w:ascii="宋体" w:hAnsi="宋体" w:cs="宋体"/>
          <w:kern w:val="0"/>
          <w:sz w:val="24"/>
          <w:lang w:bidi="ar"/>
        </w:rPr>
        <w:t>2 配置消防软管卷盘和消防水龙；</w:t>
      </w:r>
    </w:p>
    <w:p>
      <w:pPr>
        <w:spacing w:line="360" w:lineRule="auto"/>
        <w:ind w:firstLine="480" w:firstLineChars="200"/>
        <w:rPr>
          <w:sz w:val="24"/>
        </w:rPr>
      </w:pPr>
      <w:r>
        <w:rPr>
          <w:rFonts w:hint="eastAsia"/>
          <w:sz w:val="24"/>
        </w:rPr>
        <w:t>3 如下情况需配置简易自动喷水灭火系统或自动灭火系统：(1)四级耐火等级建筑面积超过600</w:t>
      </w:r>
      <w:r>
        <w:rPr>
          <w:rFonts w:hint="eastAsia"/>
          <w:sz w:val="24"/>
          <w:vertAlign w:val="superscript"/>
        </w:rPr>
        <w:t>2</w:t>
      </w:r>
      <w:r>
        <w:rPr>
          <w:rFonts w:hint="eastAsia"/>
          <w:sz w:val="24"/>
        </w:rPr>
        <w:t>或三级耐火等级超过1200m</w:t>
      </w:r>
      <w:r>
        <w:rPr>
          <w:rFonts w:hint="eastAsia"/>
          <w:sz w:val="24"/>
          <w:vertAlign w:val="superscript"/>
        </w:rPr>
        <w:t>2</w:t>
      </w:r>
      <w:r>
        <w:rPr>
          <w:rFonts w:hint="eastAsia"/>
          <w:sz w:val="24"/>
        </w:rPr>
        <w:t>；(2)处于6.2.4条所述高和极高蔓延风险区域；</w:t>
      </w:r>
    </w:p>
    <w:p>
      <w:pPr>
        <w:spacing w:line="360" w:lineRule="auto"/>
        <w:ind w:firstLine="480" w:firstLineChars="200"/>
        <w:rPr>
          <w:sz w:val="24"/>
        </w:rPr>
      </w:pPr>
      <w:r>
        <w:rPr>
          <w:rFonts w:hint="eastAsia"/>
          <w:sz w:val="24"/>
        </w:rPr>
        <w:t>5 建筑面积大于600m</w:t>
      </w:r>
      <w:r>
        <w:rPr>
          <w:rFonts w:hint="eastAsia"/>
          <w:sz w:val="24"/>
          <w:vertAlign w:val="superscript"/>
        </w:rPr>
        <w:t>2</w:t>
      </w:r>
      <w:r>
        <w:rPr>
          <w:rFonts w:hint="eastAsia"/>
          <w:sz w:val="24"/>
        </w:rPr>
        <w:t xml:space="preserve">时，应按6.1.3条要求设置消防点； </w:t>
      </w:r>
    </w:p>
    <w:p>
      <w:pPr>
        <w:spacing w:line="360" w:lineRule="auto"/>
        <w:ind w:firstLine="480" w:firstLineChars="200"/>
        <w:rPr>
          <w:sz w:val="24"/>
        </w:rPr>
      </w:pPr>
      <w:r>
        <w:rPr>
          <w:rFonts w:hint="eastAsia"/>
          <w:sz w:val="24"/>
        </w:rPr>
        <w:t xml:space="preserve">6 应当设置火灾事故应急照明灯，照明供电时间不低于30分钟，照度对于楼梯间不应低于10Lx，其它区域不应低于 5Lx，配置疏散指示标志，间距不大于 10 米； </w:t>
      </w:r>
    </w:p>
    <w:p>
      <w:pPr>
        <w:spacing w:line="360" w:lineRule="auto"/>
        <w:ind w:firstLine="480" w:firstLineChars="200"/>
        <w:rPr>
          <w:sz w:val="24"/>
        </w:rPr>
      </w:pPr>
      <w:r>
        <w:rPr>
          <w:rFonts w:hint="eastAsia"/>
          <w:sz w:val="24"/>
        </w:rPr>
        <w:t>7 场所应在明显部位设置消防安全提示、消防疏散通道、消防设施设备自发光提示牌。</w:t>
      </w:r>
    </w:p>
    <w:p>
      <w:pPr>
        <w:spacing w:line="360" w:lineRule="auto"/>
        <w:ind w:firstLine="480" w:firstLineChars="200"/>
        <w:rPr>
          <w:sz w:val="24"/>
        </w:rPr>
      </w:pPr>
      <w:r>
        <w:rPr>
          <w:rFonts w:hint="eastAsia"/>
          <w:sz w:val="24"/>
        </w:rPr>
        <w:t>8 应配备哨子、锣鼓、手持扩音器等警示提醒器材。</w:t>
      </w:r>
    </w:p>
    <w:p>
      <w:pPr>
        <w:spacing w:line="360" w:lineRule="auto"/>
        <w:rPr>
          <w:sz w:val="24"/>
        </w:rPr>
      </w:pPr>
      <w:r>
        <w:rPr>
          <w:rFonts w:hint="eastAsia"/>
          <w:sz w:val="24"/>
        </w:rPr>
        <w:t>8.9.4 餐饮场所用电除应满足本导则7.2节安全要求外，还应满足如下要求：</w:t>
      </w:r>
    </w:p>
    <w:p>
      <w:pPr>
        <w:spacing w:line="360" w:lineRule="auto"/>
        <w:ind w:firstLine="420" w:firstLineChars="175"/>
        <w:rPr>
          <w:sz w:val="24"/>
        </w:rPr>
      </w:pPr>
      <w:r>
        <w:rPr>
          <w:rFonts w:hint="eastAsia"/>
          <w:sz w:val="24"/>
        </w:rPr>
        <w:t>1 设置短路保护和过负荷保护；</w:t>
      </w:r>
    </w:p>
    <w:p>
      <w:pPr>
        <w:spacing w:line="360" w:lineRule="auto"/>
        <w:ind w:firstLine="420" w:firstLineChars="175"/>
        <w:rPr>
          <w:sz w:val="24"/>
        </w:rPr>
      </w:pPr>
      <w:r>
        <w:rPr>
          <w:rFonts w:hint="eastAsia"/>
          <w:sz w:val="24"/>
        </w:rPr>
        <w:t>2 建筑面积超过1200m</w:t>
      </w:r>
      <w:r>
        <w:rPr>
          <w:rFonts w:hint="eastAsia"/>
          <w:sz w:val="24"/>
          <w:vertAlign w:val="superscript"/>
        </w:rPr>
        <w:t>2</w:t>
      </w:r>
      <w:r>
        <w:rPr>
          <w:rFonts w:hint="eastAsia"/>
          <w:sz w:val="24"/>
        </w:rPr>
        <w:t>时，用电线路应设置电气火灾监控系统。</w:t>
      </w:r>
    </w:p>
    <w:p>
      <w:pPr>
        <w:pStyle w:val="3"/>
        <w:rPr>
          <w:sz w:val="30"/>
          <w:szCs w:val="30"/>
        </w:rPr>
      </w:pPr>
      <w:bookmarkStart w:id="26" w:name="_Toc4477"/>
      <w:r>
        <w:rPr>
          <w:rFonts w:hint="eastAsia"/>
          <w:sz w:val="30"/>
          <w:szCs w:val="30"/>
        </w:rPr>
        <w:t>8.10 仓储场所</w:t>
      </w:r>
      <w:bookmarkEnd w:id="26"/>
    </w:p>
    <w:p>
      <w:pPr>
        <w:spacing w:line="360" w:lineRule="auto"/>
        <w:rPr>
          <w:b/>
          <w:bCs/>
          <w:sz w:val="24"/>
        </w:rPr>
      </w:pPr>
      <w:r>
        <w:rPr>
          <w:rFonts w:hint="eastAsia"/>
          <w:b/>
          <w:bCs/>
          <w:sz w:val="24"/>
        </w:rPr>
        <w:t>8.10.1仓库内禁止存放甲、乙类易燃易爆类物品。</w:t>
      </w:r>
    </w:p>
    <w:p>
      <w:pPr>
        <w:spacing w:line="360" w:lineRule="auto"/>
        <w:rPr>
          <w:sz w:val="24"/>
        </w:rPr>
      </w:pPr>
      <w:r>
        <w:rPr>
          <w:rFonts w:hint="eastAsia"/>
          <w:sz w:val="24"/>
        </w:rPr>
        <w:t>8.10.2 古城内仓储场所火灾危险性分类、耐火等级、面积应参照《建筑设计防火规范》GB50016-2014执行。</w:t>
      </w:r>
    </w:p>
    <w:p>
      <w:pPr>
        <w:spacing w:line="360" w:lineRule="auto"/>
        <w:rPr>
          <w:b/>
          <w:bCs/>
          <w:sz w:val="24"/>
        </w:rPr>
      </w:pPr>
      <w:r>
        <w:rPr>
          <w:rFonts w:hint="eastAsia"/>
          <w:b/>
          <w:bCs/>
          <w:sz w:val="24"/>
        </w:rPr>
        <w:t>8.10.3 员工宿舍严禁设置在仓库内。 办公室、休息室设置在丙、丁类仓库内时，应采用耐火极限不低于2.50h的防火隔墙和1.00h的楼板与其他部位分隔，并应设置独立的安全出口。隔墙上需开设相互连通的门时，应采用乙级防火门。</w:t>
      </w:r>
    </w:p>
    <w:p>
      <w:pPr>
        <w:spacing w:line="360" w:lineRule="auto"/>
        <w:rPr>
          <w:sz w:val="24"/>
        </w:rPr>
      </w:pPr>
      <w:r>
        <w:rPr>
          <w:rFonts w:hint="eastAsia"/>
          <w:sz w:val="24"/>
        </w:rPr>
        <w:t>8.10.4库存物品应当分类、分垛储存，每垛占地面积不宜大于100m</w:t>
      </w:r>
      <w:r>
        <w:rPr>
          <w:rFonts w:hint="eastAsia"/>
          <w:sz w:val="24"/>
          <w:vertAlign w:val="superscript"/>
        </w:rPr>
        <w:t>2</w:t>
      </w:r>
      <w:r>
        <w:rPr>
          <w:rFonts w:hint="eastAsia"/>
          <w:sz w:val="24"/>
        </w:rPr>
        <w:t>，垛与垛间距不小于1.0m，垛与墙间距不小于0.5m，垛与梁、柱的间距不小于0.3m，垛与灯具、插座、开关大于 0.5m，主要通道的宽度不小于2.0m。</w:t>
      </w:r>
    </w:p>
    <w:p>
      <w:pPr>
        <w:spacing w:line="360" w:lineRule="auto"/>
        <w:rPr>
          <w:sz w:val="24"/>
        </w:rPr>
      </w:pPr>
      <w:r>
        <w:rPr>
          <w:rFonts w:hint="eastAsia"/>
          <w:sz w:val="24"/>
        </w:rPr>
        <w:t>8.10.5仓储场所除按传统民居建设的木结构主体（含门窗）外，其余装修材料应使用A级。</w:t>
      </w:r>
    </w:p>
    <w:p>
      <w:pPr>
        <w:spacing w:line="360" w:lineRule="auto"/>
        <w:rPr>
          <w:sz w:val="24"/>
        </w:rPr>
      </w:pPr>
      <w:r>
        <w:rPr>
          <w:rFonts w:hint="eastAsia"/>
          <w:sz w:val="24"/>
        </w:rPr>
        <w:t>8.10.5 仓储场所应按如下要求配置灭火设施和灭火器材：</w:t>
      </w:r>
    </w:p>
    <w:p>
      <w:pPr>
        <w:spacing w:line="360" w:lineRule="auto"/>
        <w:ind w:firstLine="480" w:firstLineChars="200"/>
        <w:rPr>
          <w:rFonts w:ascii="宋体" w:hAnsi="宋体" w:cs="宋体"/>
          <w:kern w:val="0"/>
          <w:sz w:val="24"/>
          <w:lang w:bidi="ar"/>
        </w:rPr>
      </w:pPr>
      <w:r>
        <w:rPr>
          <w:rFonts w:hint="eastAsia"/>
          <w:sz w:val="24"/>
        </w:rPr>
        <w:t>1 配置灭火器：按每 50 m</w:t>
      </w:r>
      <w:r>
        <w:rPr>
          <w:rFonts w:hint="eastAsia"/>
          <w:sz w:val="24"/>
          <w:vertAlign w:val="superscript"/>
        </w:rPr>
        <w:t>2</w:t>
      </w:r>
      <w:r>
        <w:rPr>
          <w:rFonts w:hint="eastAsia"/>
          <w:sz w:val="24"/>
        </w:rPr>
        <w:t>配置最小灭级别不小于 3A，每个点不少于 2 具且不多于 5 具，设有自动喷水灭火系统可以折减 30%；最远点至灭火器放置点不应超过</w:t>
      </w:r>
      <w:r>
        <w:rPr>
          <w:rFonts w:hint="eastAsia" w:ascii="宋体" w:hAnsi="宋体" w:cs="宋体"/>
          <w:kern w:val="0"/>
          <w:sz w:val="24"/>
          <w:lang w:bidi="ar"/>
        </w:rPr>
        <w:t>15 米；</w:t>
      </w:r>
    </w:p>
    <w:p>
      <w:pPr>
        <w:spacing w:line="360" w:lineRule="auto"/>
        <w:ind w:firstLine="480" w:firstLineChars="200"/>
        <w:rPr>
          <w:kern w:val="0"/>
          <w:sz w:val="24"/>
          <w:lang w:bidi="ar"/>
        </w:rPr>
      </w:pPr>
      <w:r>
        <w:rPr>
          <w:rFonts w:hint="eastAsia"/>
          <w:kern w:val="0"/>
          <w:sz w:val="24"/>
          <w:lang w:bidi="ar"/>
        </w:rPr>
        <w:t>2</w:t>
      </w:r>
      <w:r>
        <w:rPr>
          <w:kern w:val="0"/>
          <w:sz w:val="24"/>
          <w:lang w:bidi="ar"/>
        </w:rPr>
        <w:t xml:space="preserve"> 配置室内消火栓：当建筑</w:t>
      </w:r>
      <w:r>
        <w:rPr>
          <w:rFonts w:hint="eastAsia"/>
          <w:kern w:val="0"/>
          <w:sz w:val="24"/>
          <w:lang w:bidi="ar"/>
        </w:rPr>
        <w:t>占地面积</w:t>
      </w:r>
      <w:r>
        <w:rPr>
          <w:kern w:val="0"/>
          <w:sz w:val="24"/>
          <w:lang w:bidi="ar"/>
        </w:rPr>
        <w:t>大于</w:t>
      </w:r>
      <w:r>
        <w:rPr>
          <w:rFonts w:hint="eastAsia"/>
          <w:kern w:val="0"/>
          <w:sz w:val="24"/>
          <w:lang w:bidi="ar"/>
        </w:rPr>
        <w:t>300</w:t>
      </w:r>
      <w:r>
        <w:rPr>
          <w:kern w:val="0"/>
          <w:sz w:val="24"/>
          <w:lang w:bidi="ar"/>
        </w:rPr>
        <w:t>m</w:t>
      </w:r>
      <w:r>
        <w:rPr>
          <w:rFonts w:hint="eastAsia"/>
          <w:kern w:val="0"/>
          <w:sz w:val="24"/>
          <w:vertAlign w:val="superscript"/>
          <w:lang w:bidi="ar"/>
        </w:rPr>
        <w:t>2</w:t>
      </w:r>
      <w:r>
        <w:rPr>
          <w:rFonts w:hint="eastAsia"/>
          <w:kern w:val="0"/>
          <w:sz w:val="24"/>
          <w:lang w:bidi="ar"/>
        </w:rPr>
        <w:t>时</w:t>
      </w:r>
      <w:r>
        <w:rPr>
          <w:kern w:val="0"/>
          <w:sz w:val="24"/>
          <w:lang w:bidi="ar"/>
        </w:rPr>
        <w:t>，应配置室内消火栓系统；</w:t>
      </w:r>
    </w:p>
    <w:p>
      <w:pPr>
        <w:spacing w:line="360" w:lineRule="auto"/>
        <w:ind w:firstLine="480" w:firstLineChars="200"/>
        <w:rPr>
          <w:rFonts w:ascii="宋体" w:hAnsi="宋体" w:cs="宋体"/>
          <w:kern w:val="0"/>
          <w:sz w:val="24"/>
          <w:lang w:bidi="ar"/>
        </w:rPr>
      </w:pPr>
      <w:r>
        <w:rPr>
          <w:rFonts w:hint="eastAsia"/>
          <w:kern w:val="0"/>
          <w:sz w:val="24"/>
          <w:lang w:bidi="ar"/>
        </w:rPr>
        <w:t xml:space="preserve">3 </w:t>
      </w:r>
      <w:r>
        <w:rPr>
          <w:rFonts w:hint="eastAsia" w:ascii="宋体" w:hAnsi="宋体" w:cs="宋体"/>
          <w:kern w:val="0"/>
          <w:sz w:val="24"/>
          <w:lang w:bidi="ar"/>
        </w:rPr>
        <w:t>配置消防软管卷盘和消防水龙；</w:t>
      </w:r>
    </w:p>
    <w:p>
      <w:pPr>
        <w:spacing w:line="360" w:lineRule="auto"/>
        <w:ind w:firstLine="480" w:firstLineChars="200"/>
        <w:rPr>
          <w:sz w:val="24"/>
        </w:rPr>
      </w:pPr>
      <w:r>
        <w:rPr>
          <w:rFonts w:hint="eastAsia"/>
          <w:sz w:val="24"/>
        </w:rPr>
        <w:t>4 如下情况需配置简易自动喷水灭火系统或自动灭火系统：(1)防火分区面积超过现行规范限值；(3)占地面积大于1500m</w:t>
      </w:r>
      <w:r>
        <w:rPr>
          <w:rFonts w:hint="eastAsia"/>
          <w:sz w:val="24"/>
          <w:vertAlign w:val="superscript"/>
        </w:rPr>
        <w:t>2</w:t>
      </w:r>
      <w:r>
        <w:rPr>
          <w:rFonts w:hint="eastAsia"/>
          <w:sz w:val="24"/>
        </w:rPr>
        <w:t>或总建筑面积大于3000m</w:t>
      </w:r>
      <w:r>
        <w:rPr>
          <w:rFonts w:hint="eastAsia"/>
          <w:sz w:val="24"/>
          <w:vertAlign w:val="superscript"/>
        </w:rPr>
        <w:t>2</w:t>
      </w:r>
      <w:r>
        <w:rPr>
          <w:rFonts w:hint="eastAsia"/>
          <w:sz w:val="24"/>
        </w:rPr>
        <w:t>的丙类仓库；(4)总建筑面积超过500m</w:t>
      </w:r>
      <w:r>
        <w:rPr>
          <w:rFonts w:hint="eastAsia"/>
          <w:sz w:val="24"/>
          <w:vertAlign w:val="superscript"/>
        </w:rPr>
        <w:t>2</w:t>
      </w:r>
      <w:r>
        <w:rPr>
          <w:rFonts w:hint="eastAsia"/>
          <w:sz w:val="24"/>
        </w:rPr>
        <w:t>的地下仓库；(5)处于6.2.4条所述高和极高蔓延风险区域；</w:t>
      </w:r>
    </w:p>
    <w:p>
      <w:pPr>
        <w:spacing w:line="360" w:lineRule="auto"/>
        <w:ind w:firstLine="480" w:firstLineChars="200"/>
        <w:rPr>
          <w:sz w:val="24"/>
        </w:rPr>
      </w:pPr>
      <w:r>
        <w:rPr>
          <w:sz w:val="24"/>
        </w:rPr>
        <w:t xml:space="preserve">5 </w:t>
      </w:r>
      <w:r>
        <w:rPr>
          <w:kern w:val="0"/>
          <w:sz w:val="24"/>
          <w:lang w:bidi="ar"/>
        </w:rPr>
        <w:t>未达到设置自动喷淋、自动报警、室内消火栓系统，且离市政消火栓大于 60 米的场所应配置 5 盘消防水带、一支水枪、一把消防栓扳手；有条件的场所应设置景观水池、消防水池或专用消防水箱；</w:t>
      </w:r>
    </w:p>
    <w:p>
      <w:pPr>
        <w:spacing w:line="360" w:lineRule="auto"/>
        <w:ind w:firstLine="480" w:firstLineChars="200"/>
        <w:rPr>
          <w:sz w:val="24"/>
        </w:rPr>
      </w:pPr>
      <w:r>
        <w:rPr>
          <w:rFonts w:hint="eastAsia"/>
          <w:sz w:val="24"/>
        </w:rPr>
        <w:t>6 建筑面积超过600m</w:t>
      </w:r>
      <w:r>
        <w:rPr>
          <w:rFonts w:hint="eastAsia"/>
          <w:sz w:val="24"/>
          <w:vertAlign w:val="superscript"/>
        </w:rPr>
        <w:t>2</w:t>
      </w:r>
      <w:r>
        <w:rPr>
          <w:rFonts w:hint="eastAsia"/>
          <w:sz w:val="24"/>
        </w:rPr>
        <w:t xml:space="preserve">时，应按6.1.3要求设置消防点； </w:t>
      </w:r>
    </w:p>
    <w:p>
      <w:pPr>
        <w:spacing w:line="360" w:lineRule="auto"/>
        <w:ind w:firstLine="480" w:firstLineChars="200"/>
        <w:rPr>
          <w:sz w:val="24"/>
        </w:rPr>
      </w:pPr>
      <w:r>
        <w:rPr>
          <w:rFonts w:hint="eastAsia"/>
          <w:sz w:val="24"/>
        </w:rPr>
        <w:t xml:space="preserve">7 应当设置火灾事故应急照明灯，照明供电时间不低于30分钟，照度不应低于 5Lx； </w:t>
      </w:r>
    </w:p>
    <w:p>
      <w:pPr>
        <w:spacing w:line="360" w:lineRule="auto"/>
        <w:ind w:firstLine="480" w:firstLineChars="200"/>
        <w:rPr>
          <w:sz w:val="24"/>
        </w:rPr>
      </w:pPr>
      <w:r>
        <w:rPr>
          <w:rFonts w:hint="eastAsia"/>
          <w:sz w:val="24"/>
        </w:rPr>
        <w:t>8 应配备哨子、锣鼓、手持扩音器等警示提醒器材。</w:t>
      </w:r>
    </w:p>
    <w:p>
      <w:pPr>
        <w:spacing w:line="360" w:lineRule="auto"/>
        <w:rPr>
          <w:sz w:val="24"/>
        </w:rPr>
      </w:pPr>
    </w:p>
    <w:p>
      <w:pPr>
        <w:spacing w:line="360" w:lineRule="auto"/>
        <w:ind w:firstLine="480" w:firstLineChars="200"/>
        <w:rPr>
          <w:rFonts w:ascii="宋体" w:hAnsi="宋体" w:cs="宋体"/>
          <w:kern w:val="0"/>
          <w:sz w:val="24"/>
          <w:lang w:bidi="ar"/>
        </w:rPr>
      </w:pPr>
    </w:p>
    <w:p>
      <w:pPr>
        <w:rPr>
          <w:b/>
          <w:bCs/>
          <w:sz w:val="24"/>
        </w:rPr>
      </w:pPr>
    </w:p>
    <w:p>
      <w:pPr>
        <w:rPr>
          <w:b/>
          <w:bCs/>
          <w:sz w:val="24"/>
        </w:rPr>
      </w:pPr>
      <w:r>
        <w:rPr>
          <w:rFonts w:hint="eastAsia"/>
          <w:b/>
          <w:bCs/>
          <w:sz w:val="24"/>
        </w:rPr>
        <w:br w:type="page"/>
      </w:r>
    </w:p>
    <w:p>
      <w:pPr>
        <w:pStyle w:val="2"/>
        <w:rPr>
          <w:sz w:val="32"/>
          <w:szCs w:val="32"/>
        </w:rPr>
      </w:pPr>
      <w:bookmarkStart w:id="27" w:name="_Toc20606"/>
      <w:r>
        <w:rPr>
          <w:rFonts w:hint="eastAsia"/>
          <w:sz w:val="32"/>
          <w:szCs w:val="32"/>
        </w:rPr>
        <w:t>附表A  现场勘察内容</w:t>
      </w:r>
      <w:bookmarkEnd w:id="27"/>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8"/>
        <w:gridCol w:w="1340"/>
        <w:gridCol w:w="4680"/>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8" w:type="dxa"/>
            <w:vAlign w:val="center"/>
          </w:tcPr>
          <w:p>
            <w:pPr>
              <w:jc w:val="center"/>
              <w:rPr>
                <w:rFonts w:ascii="黑体" w:hAnsi="黑体" w:eastAsia="黑体"/>
              </w:rPr>
            </w:pPr>
            <w:r>
              <w:rPr>
                <w:rFonts w:hint="eastAsia" w:ascii="黑体" w:hAnsi="黑体" w:eastAsia="黑体"/>
              </w:rPr>
              <w:t>类别</w:t>
            </w:r>
          </w:p>
        </w:tc>
        <w:tc>
          <w:tcPr>
            <w:tcW w:w="1340" w:type="dxa"/>
            <w:vAlign w:val="center"/>
          </w:tcPr>
          <w:p>
            <w:pPr>
              <w:jc w:val="center"/>
              <w:rPr>
                <w:rFonts w:ascii="黑体" w:hAnsi="黑体" w:eastAsia="黑体"/>
              </w:rPr>
            </w:pPr>
            <w:r>
              <w:rPr>
                <w:rFonts w:hint="eastAsia" w:ascii="黑体" w:hAnsi="黑体" w:eastAsia="黑体"/>
              </w:rPr>
              <w:t>分项</w:t>
            </w:r>
          </w:p>
        </w:tc>
        <w:tc>
          <w:tcPr>
            <w:tcW w:w="4680" w:type="dxa"/>
            <w:vAlign w:val="center"/>
          </w:tcPr>
          <w:p>
            <w:pPr>
              <w:jc w:val="center"/>
              <w:rPr>
                <w:rFonts w:ascii="黑体" w:hAnsi="黑体" w:eastAsia="黑体"/>
              </w:rPr>
            </w:pPr>
            <w:r>
              <w:rPr>
                <w:rFonts w:hint="eastAsia" w:ascii="黑体" w:hAnsi="黑体" w:eastAsia="黑体"/>
              </w:rPr>
              <w:t>主要勘察内容</w:t>
            </w:r>
          </w:p>
        </w:tc>
        <w:tc>
          <w:tcPr>
            <w:tcW w:w="1034" w:type="dxa"/>
            <w:vAlign w:val="center"/>
          </w:tcPr>
          <w:p>
            <w:pPr>
              <w:jc w:val="center"/>
              <w:rPr>
                <w:rFonts w:ascii="黑体" w:hAnsi="黑体" w:eastAsia="黑体"/>
              </w:rPr>
            </w:pPr>
            <w:r>
              <w:rPr>
                <w:rFonts w:hint="eastAsia" w:ascii="黑体" w:hAnsi="黑体" w:eastAsia="黑体"/>
              </w:rPr>
              <w:t>结果</w:t>
            </w:r>
          </w:p>
          <w:p>
            <w:pPr>
              <w:jc w:val="center"/>
              <w:rPr>
                <w:sz w:val="18"/>
                <w:szCs w:val="18"/>
              </w:rPr>
            </w:pPr>
            <w:r>
              <w:rPr>
                <w:rFonts w:hint="eastAsia"/>
                <w:sz w:val="18"/>
                <w:szCs w:val="18"/>
              </w:rPr>
              <w:t>是否√×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8" w:type="dxa"/>
            <w:vMerge w:val="restart"/>
            <w:vAlign w:val="center"/>
          </w:tcPr>
          <w:p>
            <w:pPr>
              <w:jc w:val="center"/>
              <w:rPr>
                <w:sz w:val="18"/>
                <w:szCs w:val="18"/>
              </w:rPr>
            </w:pPr>
            <w:r>
              <w:rPr>
                <w:rFonts w:hint="eastAsia" w:ascii="黑体" w:hAnsi="黑体" w:eastAsia="黑体" w:cs="黑体"/>
                <w:sz w:val="18"/>
                <w:szCs w:val="18"/>
              </w:rPr>
              <w:t>建筑使用功能</w:t>
            </w:r>
          </w:p>
        </w:tc>
        <w:tc>
          <w:tcPr>
            <w:tcW w:w="1340" w:type="dxa"/>
            <w:vAlign w:val="center"/>
          </w:tcPr>
          <w:p>
            <w:pPr>
              <w:jc w:val="center"/>
              <w:rPr>
                <w:sz w:val="18"/>
                <w:szCs w:val="18"/>
              </w:rPr>
            </w:pPr>
            <w:r>
              <w:rPr>
                <w:rFonts w:hint="eastAsia"/>
                <w:sz w:val="18"/>
                <w:szCs w:val="18"/>
              </w:rPr>
              <w:t>居住类</w:t>
            </w:r>
          </w:p>
        </w:tc>
        <w:tc>
          <w:tcPr>
            <w:tcW w:w="4680" w:type="dxa"/>
            <w:vAlign w:val="center"/>
          </w:tcPr>
          <w:p>
            <w:pPr>
              <w:rPr>
                <w:sz w:val="18"/>
                <w:szCs w:val="18"/>
              </w:rPr>
            </w:pPr>
            <w:r>
              <w:rPr>
                <w:rFonts w:hint="eastAsia"/>
                <w:sz w:val="18"/>
                <w:szCs w:val="18"/>
              </w:rPr>
              <w:t>人员长期居住，生活用房等。</w:t>
            </w:r>
          </w:p>
        </w:tc>
        <w:tc>
          <w:tcPr>
            <w:tcW w:w="1034" w:type="dxa"/>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8" w:type="dxa"/>
            <w:vMerge w:val="continue"/>
            <w:vAlign w:val="center"/>
          </w:tcPr>
          <w:p>
            <w:pPr>
              <w:jc w:val="center"/>
              <w:rPr>
                <w:sz w:val="18"/>
                <w:szCs w:val="18"/>
              </w:rPr>
            </w:pPr>
          </w:p>
        </w:tc>
        <w:tc>
          <w:tcPr>
            <w:tcW w:w="1340" w:type="dxa"/>
            <w:vAlign w:val="center"/>
          </w:tcPr>
          <w:p>
            <w:pPr>
              <w:jc w:val="center"/>
              <w:rPr>
                <w:sz w:val="18"/>
                <w:szCs w:val="18"/>
              </w:rPr>
            </w:pPr>
            <w:r>
              <w:rPr>
                <w:rFonts w:hint="eastAsia"/>
                <w:sz w:val="18"/>
                <w:szCs w:val="18"/>
              </w:rPr>
              <w:t>学校</w:t>
            </w:r>
          </w:p>
        </w:tc>
        <w:tc>
          <w:tcPr>
            <w:tcW w:w="4680" w:type="dxa"/>
            <w:vAlign w:val="center"/>
          </w:tcPr>
          <w:p>
            <w:pPr>
              <w:rPr>
                <w:sz w:val="18"/>
                <w:szCs w:val="18"/>
              </w:rPr>
            </w:pPr>
            <w:r>
              <w:rPr>
                <w:rFonts w:hint="eastAsia"/>
                <w:sz w:val="18"/>
                <w:szCs w:val="18"/>
              </w:rPr>
              <w:t>中小学、幼儿园等。</w:t>
            </w:r>
          </w:p>
        </w:tc>
        <w:tc>
          <w:tcPr>
            <w:tcW w:w="1034" w:type="dxa"/>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8" w:type="dxa"/>
            <w:vMerge w:val="continue"/>
            <w:vAlign w:val="center"/>
          </w:tcPr>
          <w:p>
            <w:pPr>
              <w:jc w:val="center"/>
              <w:rPr>
                <w:sz w:val="18"/>
                <w:szCs w:val="18"/>
              </w:rPr>
            </w:pPr>
          </w:p>
        </w:tc>
        <w:tc>
          <w:tcPr>
            <w:tcW w:w="1340" w:type="dxa"/>
            <w:vAlign w:val="center"/>
          </w:tcPr>
          <w:p>
            <w:pPr>
              <w:jc w:val="center"/>
              <w:rPr>
                <w:sz w:val="18"/>
                <w:szCs w:val="18"/>
              </w:rPr>
            </w:pPr>
            <w:r>
              <w:rPr>
                <w:rFonts w:hint="eastAsia"/>
                <w:sz w:val="18"/>
                <w:szCs w:val="18"/>
              </w:rPr>
              <w:t>行政办公</w:t>
            </w:r>
          </w:p>
        </w:tc>
        <w:tc>
          <w:tcPr>
            <w:tcW w:w="4680" w:type="dxa"/>
            <w:vAlign w:val="center"/>
          </w:tcPr>
          <w:p>
            <w:pPr>
              <w:rPr>
                <w:sz w:val="18"/>
                <w:szCs w:val="18"/>
              </w:rPr>
            </w:pPr>
            <w:r>
              <w:rPr>
                <w:rFonts w:hint="eastAsia"/>
                <w:sz w:val="18"/>
                <w:szCs w:val="18"/>
              </w:rPr>
              <w:t>供机关、团体和企事业单位办理行政事务和从事各类业务活动的建筑物。</w:t>
            </w:r>
          </w:p>
        </w:tc>
        <w:tc>
          <w:tcPr>
            <w:tcW w:w="1034" w:type="dxa"/>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8" w:type="dxa"/>
            <w:vMerge w:val="continue"/>
            <w:vAlign w:val="center"/>
          </w:tcPr>
          <w:p>
            <w:pPr>
              <w:jc w:val="center"/>
              <w:rPr>
                <w:sz w:val="18"/>
                <w:szCs w:val="18"/>
              </w:rPr>
            </w:pPr>
          </w:p>
        </w:tc>
        <w:tc>
          <w:tcPr>
            <w:tcW w:w="1340" w:type="dxa"/>
            <w:vAlign w:val="center"/>
          </w:tcPr>
          <w:p>
            <w:pPr>
              <w:jc w:val="center"/>
              <w:rPr>
                <w:sz w:val="18"/>
                <w:szCs w:val="18"/>
              </w:rPr>
            </w:pPr>
            <w:r>
              <w:rPr>
                <w:rFonts w:hint="eastAsia"/>
                <w:sz w:val="18"/>
                <w:szCs w:val="18"/>
              </w:rPr>
              <w:t>公共娱乐场所</w:t>
            </w:r>
          </w:p>
        </w:tc>
        <w:tc>
          <w:tcPr>
            <w:tcW w:w="4680" w:type="dxa"/>
            <w:vAlign w:val="center"/>
          </w:tcPr>
          <w:p>
            <w:pPr>
              <w:rPr>
                <w:sz w:val="18"/>
                <w:szCs w:val="18"/>
              </w:rPr>
            </w:pPr>
            <w:r>
              <w:rPr>
                <w:rFonts w:hint="eastAsia"/>
                <w:sz w:val="18"/>
                <w:szCs w:val="18"/>
              </w:rPr>
              <w:t>具有文化娱乐、健身休闲功能并向公众开放的室内场所，包括影剧院、录像厅、礼堂等演出、放映场所，舞厅、卡拉OK厅等歌舞娱乐场所，具有娱乐功能的夜总会、音乐茶座、酒吧和餐饮场所，游艺、游乐场所和保龄球馆、旱冰场、桑拿等娱乐、健身、休闲场所和互联网上网服务营业场所。</w:t>
            </w:r>
          </w:p>
        </w:tc>
        <w:tc>
          <w:tcPr>
            <w:tcW w:w="1034" w:type="dxa"/>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8" w:type="dxa"/>
            <w:vMerge w:val="continue"/>
            <w:vAlign w:val="center"/>
          </w:tcPr>
          <w:p>
            <w:pPr>
              <w:jc w:val="center"/>
              <w:rPr>
                <w:sz w:val="18"/>
                <w:szCs w:val="18"/>
              </w:rPr>
            </w:pPr>
          </w:p>
        </w:tc>
        <w:tc>
          <w:tcPr>
            <w:tcW w:w="1340" w:type="dxa"/>
            <w:vAlign w:val="center"/>
          </w:tcPr>
          <w:p>
            <w:pPr>
              <w:jc w:val="center"/>
              <w:rPr>
                <w:sz w:val="18"/>
                <w:szCs w:val="18"/>
              </w:rPr>
            </w:pPr>
            <w:r>
              <w:rPr>
                <w:rFonts w:hint="eastAsia"/>
                <w:sz w:val="18"/>
                <w:szCs w:val="18"/>
              </w:rPr>
              <w:t>餐饮场所</w:t>
            </w:r>
          </w:p>
        </w:tc>
        <w:tc>
          <w:tcPr>
            <w:tcW w:w="4680" w:type="dxa"/>
            <w:vAlign w:val="center"/>
          </w:tcPr>
          <w:p>
            <w:pPr>
              <w:rPr>
                <w:sz w:val="18"/>
                <w:szCs w:val="18"/>
              </w:rPr>
            </w:pPr>
            <w:r>
              <w:rPr>
                <w:rFonts w:hint="eastAsia"/>
                <w:sz w:val="18"/>
                <w:szCs w:val="18"/>
              </w:rPr>
              <w:t> 接待消费者就餐或宴请宾客的营业性场所。</w:t>
            </w:r>
          </w:p>
        </w:tc>
        <w:tc>
          <w:tcPr>
            <w:tcW w:w="1034" w:type="dxa"/>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8" w:type="dxa"/>
            <w:vMerge w:val="continue"/>
            <w:vAlign w:val="center"/>
          </w:tcPr>
          <w:p>
            <w:pPr>
              <w:jc w:val="center"/>
              <w:rPr>
                <w:sz w:val="18"/>
                <w:szCs w:val="18"/>
              </w:rPr>
            </w:pPr>
          </w:p>
        </w:tc>
        <w:tc>
          <w:tcPr>
            <w:tcW w:w="1340" w:type="dxa"/>
            <w:vAlign w:val="center"/>
          </w:tcPr>
          <w:p>
            <w:pPr>
              <w:jc w:val="center"/>
              <w:rPr>
                <w:sz w:val="18"/>
                <w:szCs w:val="18"/>
              </w:rPr>
            </w:pPr>
            <w:r>
              <w:rPr>
                <w:rFonts w:hint="eastAsia"/>
                <w:sz w:val="18"/>
                <w:szCs w:val="18"/>
              </w:rPr>
              <w:t>商场（商铺）</w:t>
            </w:r>
          </w:p>
        </w:tc>
        <w:tc>
          <w:tcPr>
            <w:tcW w:w="4680" w:type="dxa"/>
            <w:vAlign w:val="center"/>
          </w:tcPr>
          <w:p>
            <w:pPr>
              <w:rPr>
                <w:sz w:val="18"/>
                <w:szCs w:val="18"/>
              </w:rPr>
            </w:pPr>
            <w:r>
              <w:rPr>
                <w:rFonts w:hint="eastAsia"/>
                <w:sz w:val="18"/>
                <w:szCs w:val="18"/>
              </w:rPr>
              <w:t>从事各类批发、零售经营活动的场所。</w:t>
            </w:r>
          </w:p>
        </w:tc>
        <w:tc>
          <w:tcPr>
            <w:tcW w:w="1034" w:type="dxa"/>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8" w:type="dxa"/>
            <w:vMerge w:val="continue"/>
            <w:vAlign w:val="center"/>
          </w:tcPr>
          <w:p>
            <w:pPr>
              <w:jc w:val="center"/>
              <w:rPr>
                <w:sz w:val="18"/>
                <w:szCs w:val="18"/>
              </w:rPr>
            </w:pPr>
          </w:p>
        </w:tc>
        <w:tc>
          <w:tcPr>
            <w:tcW w:w="1340" w:type="dxa"/>
            <w:vAlign w:val="center"/>
          </w:tcPr>
          <w:p>
            <w:pPr>
              <w:jc w:val="center"/>
              <w:rPr>
                <w:sz w:val="18"/>
                <w:szCs w:val="18"/>
              </w:rPr>
            </w:pPr>
            <w:r>
              <w:rPr>
                <w:rFonts w:hint="eastAsia"/>
                <w:sz w:val="18"/>
                <w:szCs w:val="18"/>
              </w:rPr>
              <w:t>酒店客栈</w:t>
            </w:r>
          </w:p>
        </w:tc>
        <w:tc>
          <w:tcPr>
            <w:tcW w:w="4680" w:type="dxa"/>
            <w:vAlign w:val="center"/>
          </w:tcPr>
          <w:p>
            <w:pPr>
              <w:rPr>
                <w:sz w:val="18"/>
                <w:szCs w:val="18"/>
              </w:rPr>
            </w:pPr>
            <w:r>
              <w:rPr>
                <w:rFonts w:hint="eastAsia"/>
                <w:sz w:val="18"/>
                <w:szCs w:val="18"/>
              </w:rPr>
              <w:t>提供外出人员暂住的场所。</w:t>
            </w:r>
          </w:p>
        </w:tc>
        <w:tc>
          <w:tcPr>
            <w:tcW w:w="1034" w:type="dxa"/>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8" w:type="dxa"/>
            <w:vMerge w:val="continue"/>
            <w:vAlign w:val="center"/>
          </w:tcPr>
          <w:p>
            <w:pPr>
              <w:jc w:val="center"/>
              <w:rPr>
                <w:sz w:val="18"/>
                <w:szCs w:val="18"/>
              </w:rPr>
            </w:pPr>
          </w:p>
        </w:tc>
        <w:tc>
          <w:tcPr>
            <w:tcW w:w="1340" w:type="dxa"/>
            <w:vAlign w:val="center"/>
          </w:tcPr>
          <w:p>
            <w:pPr>
              <w:jc w:val="center"/>
              <w:rPr>
                <w:sz w:val="18"/>
                <w:szCs w:val="18"/>
              </w:rPr>
            </w:pPr>
            <w:r>
              <w:rPr>
                <w:rFonts w:hint="eastAsia"/>
                <w:sz w:val="18"/>
                <w:szCs w:val="18"/>
              </w:rPr>
              <w:t>仓储</w:t>
            </w:r>
          </w:p>
        </w:tc>
        <w:tc>
          <w:tcPr>
            <w:tcW w:w="4680" w:type="dxa"/>
            <w:vAlign w:val="center"/>
          </w:tcPr>
          <w:p>
            <w:pPr>
              <w:rPr>
                <w:sz w:val="18"/>
                <w:szCs w:val="18"/>
              </w:rPr>
            </w:pPr>
            <w:r>
              <w:rPr>
                <w:rFonts w:hint="eastAsia"/>
                <w:sz w:val="18"/>
                <w:szCs w:val="18"/>
              </w:rPr>
              <w:t>存放、保管、储存物品的建筑物和场地。</w:t>
            </w:r>
          </w:p>
        </w:tc>
        <w:tc>
          <w:tcPr>
            <w:tcW w:w="1034" w:type="dxa"/>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8" w:type="dxa"/>
            <w:vMerge w:val="continue"/>
            <w:vAlign w:val="center"/>
          </w:tcPr>
          <w:p>
            <w:pPr>
              <w:jc w:val="center"/>
              <w:rPr>
                <w:sz w:val="18"/>
                <w:szCs w:val="18"/>
              </w:rPr>
            </w:pPr>
          </w:p>
        </w:tc>
        <w:tc>
          <w:tcPr>
            <w:tcW w:w="1340" w:type="dxa"/>
            <w:vAlign w:val="center"/>
          </w:tcPr>
          <w:p>
            <w:pPr>
              <w:jc w:val="center"/>
              <w:rPr>
                <w:sz w:val="18"/>
                <w:szCs w:val="18"/>
              </w:rPr>
            </w:pPr>
            <w:r>
              <w:rPr>
                <w:rFonts w:hint="eastAsia"/>
                <w:sz w:val="18"/>
                <w:szCs w:val="18"/>
              </w:rPr>
              <w:t>其它</w:t>
            </w:r>
          </w:p>
        </w:tc>
        <w:tc>
          <w:tcPr>
            <w:tcW w:w="4680" w:type="dxa"/>
            <w:vAlign w:val="center"/>
          </w:tcPr>
          <w:p>
            <w:pPr>
              <w:rPr>
                <w:sz w:val="18"/>
                <w:szCs w:val="18"/>
              </w:rPr>
            </w:pPr>
            <w:r>
              <w:rPr>
                <w:rFonts w:hint="eastAsia"/>
                <w:sz w:val="18"/>
                <w:szCs w:val="18"/>
              </w:rPr>
              <w:t>用于生产、加工、经营等其它用途的场所。</w:t>
            </w:r>
          </w:p>
        </w:tc>
        <w:tc>
          <w:tcPr>
            <w:tcW w:w="1034" w:type="dxa"/>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8" w:type="dxa"/>
            <w:vMerge w:val="continue"/>
            <w:vAlign w:val="center"/>
          </w:tcPr>
          <w:p>
            <w:pPr>
              <w:jc w:val="center"/>
              <w:rPr>
                <w:sz w:val="18"/>
                <w:szCs w:val="18"/>
              </w:rPr>
            </w:pPr>
          </w:p>
        </w:tc>
        <w:tc>
          <w:tcPr>
            <w:tcW w:w="1340" w:type="dxa"/>
            <w:vAlign w:val="center"/>
          </w:tcPr>
          <w:p>
            <w:pPr>
              <w:jc w:val="center"/>
              <w:rPr>
                <w:sz w:val="18"/>
                <w:szCs w:val="18"/>
              </w:rPr>
            </w:pPr>
            <w:r>
              <w:rPr>
                <w:rFonts w:hint="eastAsia"/>
                <w:sz w:val="18"/>
                <w:szCs w:val="18"/>
              </w:rPr>
              <w:t>多合一场所</w:t>
            </w:r>
          </w:p>
        </w:tc>
        <w:tc>
          <w:tcPr>
            <w:tcW w:w="4680" w:type="dxa"/>
            <w:vAlign w:val="center"/>
          </w:tcPr>
          <w:p>
            <w:pPr>
              <w:pStyle w:val="9"/>
              <w:shd w:val="clear" w:color="auto" w:fill="FFFFFF"/>
              <w:spacing w:before="0" w:beforeAutospacing="0" w:after="150" w:afterAutospacing="0" w:line="240" w:lineRule="atLeast"/>
              <w:rPr>
                <w:rFonts w:ascii="Times New Roman" w:hAnsi="Times New Roman"/>
                <w:sz w:val="18"/>
                <w:szCs w:val="18"/>
              </w:rPr>
            </w:pPr>
            <w:r>
              <w:rPr>
                <w:rFonts w:hint="eastAsia" w:ascii="Times New Roman" w:hAnsi="Times New Roman" w:cs="Times New Roman"/>
                <w:kern w:val="2"/>
                <w:sz w:val="18"/>
                <w:szCs w:val="18"/>
              </w:rPr>
              <w:t>住宿与生产、储存、经营等一种或几种用途混合设置在同一连通空间内的场所。</w:t>
            </w:r>
          </w:p>
        </w:tc>
        <w:tc>
          <w:tcPr>
            <w:tcW w:w="1034" w:type="dxa"/>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8" w:type="dxa"/>
            <w:vMerge w:val="restart"/>
            <w:vAlign w:val="center"/>
          </w:tcPr>
          <w:p>
            <w:pPr>
              <w:jc w:val="center"/>
              <w:rPr>
                <w:sz w:val="18"/>
                <w:szCs w:val="18"/>
              </w:rPr>
            </w:pPr>
            <w:r>
              <w:rPr>
                <w:rFonts w:hint="eastAsia" w:ascii="黑体" w:hAnsi="黑体" w:eastAsia="黑体" w:cs="黑体"/>
                <w:sz w:val="18"/>
                <w:szCs w:val="18"/>
              </w:rPr>
              <w:t>建筑防火</w:t>
            </w:r>
          </w:p>
        </w:tc>
        <w:tc>
          <w:tcPr>
            <w:tcW w:w="1340" w:type="dxa"/>
            <w:vAlign w:val="center"/>
          </w:tcPr>
          <w:p>
            <w:pPr>
              <w:jc w:val="center"/>
              <w:rPr>
                <w:sz w:val="18"/>
                <w:szCs w:val="18"/>
              </w:rPr>
            </w:pPr>
            <w:r>
              <w:rPr>
                <w:rFonts w:hint="eastAsia"/>
                <w:sz w:val="18"/>
                <w:szCs w:val="18"/>
              </w:rPr>
              <w:t>火灾荷载</w:t>
            </w:r>
          </w:p>
        </w:tc>
        <w:tc>
          <w:tcPr>
            <w:tcW w:w="4680" w:type="dxa"/>
            <w:vAlign w:val="center"/>
          </w:tcPr>
          <w:p>
            <w:pPr>
              <w:rPr>
                <w:sz w:val="18"/>
                <w:szCs w:val="18"/>
              </w:rPr>
            </w:pPr>
            <w:r>
              <w:rPr>
                <w:rFonts w:hint="eastAsia"/>
                <w:sz w:val="18"/>
                <w:szCs w:val="18"/>
              </w:rPr>
              <w:t>单体建筑的墙、柱、梁、楼板等主要构件的材质，建筑本体材质，内部可燃物</w:t>
            </w:r>
            <w:r>
              <w:rPr>
                <w:sz w:val="18"/>
                <w:szCs w:val="18"/>
              </w:rPr>
              <w:t>(</w:t>
            </w:r>
            <w:r>
              <w:rPr>
                <w:rFonts w:hint="eastAsia"/>
                <w:sz w:val="18"/>
                <w:szCs w:val="18"/>
              </w:rPr>
              <w:t>可燃家具、装饰、仓储物品等</w:t>
            </w:r>
            <w:r>
              <w:rPr>
                <w:sz w:val="18"/>
                <w:szCs w:val="18"/>
              </w:rPr>
              <w:t>)</w:t>
            </w:r>
          </w:p>
        </w:tc>
        <w:tc>
          <w:tcPr>
            <w:tcW w:w="1034" w:type="dxa"/>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8" w:type="dxa"/>
            <w:vMerge w:val="continue"/>
            <w:vAlign w:val="center"/>
          </w:tcPr>
          <w:p>
            <w:pPr>
              <w:jc w:val="center"/>
              <w:rPr>
                <w:sz w:val="18"/>
                <w:szCs w:val="18"/>
              </w:rPr>
            </w:pPr>
          </w:p>
        </w:tc>
        <w:tc>
          <w:tcPr>
            <w:tcW w:w="1340" w:type="dxa"/>
            <w:vAlign w:val="center"/>
          </w:tcPr>
          <w:p>
            <w:pPr>
              <w:jc w:val="center"/>
              <w:rPr>
                <w:sz w:val="18"/>
                <w:szCs w:val="18"/>
              </w:rPr>
            </w:pPr>
            <w:r>
              <w:rPr>
                <w:rFonts w:hint="eastAsia"/>
                <w:sz w:val="18"/>
                <w:szCs w:val="18"/>
              </w:rPr>
              <w:t>建筑参数</w:t>
            </w:r>
          </w:p>
        </w:tc>
        <w:tc>
          <w:tcPr>
            <w:tcW w:w="4680" w:type="dxa"/>
            <w:vAlign w:val="center"/>
          </w:tcPr>
          <w:p>
            <w:pPr>
              <w:rPr>
                <w:sz w:val="18"/>
                <w:szCs w:val="18"/>
              </w:rPr>
            </w:pPr>
            <w:r>
              <w:rPr>
                <w:rFonts w:hint="eastAsia"/>
                <w:sz w:val="18"/>
                <w:szCs w:val="18"/>
              </w:rPr>
              <w:t>单体建筑高度、层数、层高、面积，区城建筑面积或占地面积</w:t>
            </w:r>
          </w:p>
        </w:tc>
        <w:tc>
          <w:tcPr>
            <w:tcW w:w="1034" w:type="dxa"/>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8" w:type="dxa"/>
            <w:vMerge w:val="continue"/>
            <w:vAlign w:val="center"/>
          </w:tcPr>
          <w:p>
            <w:pPr>
              <w:jc w:val="center"/>
              <w:rPr>
                <w:sz w:val="18"/>
                <w:szCs w:val="18"/>
              </w:rPr>
            </w:pPr>
          </w:p>
        </w:tc>
        <w:tc>
          <w:tcPr>
            <w:tcW w:w="1340" w:type="dxa"/>
            <w:vAlign w:val="center"/>
          </w:tcPr>
          <w:p>
            <w:pPr>
              <w:jc w:val="center"/>
              <w:rPr>
                <w:sz w:val="18"/>
                <w:szCs w:val="18"/>
              </w:rPr>
            </w:pPr>
            <w:r>
              <w:rPr>
                <w:rFonts w:hint="eastAsia"/>
                <w:sz w:val="18"/>
                <w:szCs w:val="18"/>
              </w:rPr>
              <w:t>耐火等级</w:t>
            </w:r>
          </w:p>
        </w:tc>
        <w:tc>
          <w:tcPr>
            <w:tcW w:w="4680" w:type="dxa"/>
            <w:vAlign w:val="center"/>
          </w:tcPr>
          <w:p>
            <w:pPr>
              <w:rPr>
                <w:sz w:val="18"/>
                <w:szCs w:val="18"/>
              </w:rPr>
            </w:pPr>
            <w:r>
              <w:rPr>
                <w:rFonts w:hint="eastAsia"/>
                <w:sz w:val="18"/>
                <w:szCs w:val="18"/>
              </w:rPr>
              <w:t>依据单体建筑主要构件耐火极限确定的建筑耐火等级</w:t>
            </w:r>
          </w:p>
        </w:tc>
        <w:tc>
          <w:tcPr>
            <w:tcW w:w="1034" w:type="dxa"/>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8" w:type="dxa"/>
            <w:vMerge w:val="continue"/>
            <w:vAlign w:val="center"/>
          </w:tcPr>
          <w:p>
            <w:pPr>
              <w:jc w:val="center"/>
              <w:rPr>
                <w:sz w:val="18"/>
                <w:szCs w:val="18"/>
              </w:rPr>
            </w:pPr>
          </w:p>
        </w:tc>
        <w:tc>
          <w:tcPr>
            <w:tcW w:w="1340" w:type="dxa"/>
            <w:vAlign w:val="center"/>
          </w:tcPr>
          <w:p>
            <w:pPr>
              <w:jc w:val="center"/>
              <w:rPr>
                <w:sz w:val="18"/>
                <w:szCs w:val="18"/>
              </w:rPr>
            </w:pPr>
            <w:r>
              <w:rPr>
                <w:rFonts w:hint="eastAsia"/>
                <w:sz w:val="18"/>
                <w:szCs w:val="18"/>
              </w:rPr>
              <w:t>平面布置</w:t>
            </w:r>
          </w:p>
        </w:tc>
        <w:tc>
          <w:tcPr>
            <w:tcW w:w="4680" w:type="dxa"/>
            <w:vAlign w:val="center"/>
          </w:tcPr>
          <w:p>
            <w:pPr>
              <w:rPr>
                <w:sz w:val="18"/>
                <w:szCs w:val="18"/>
              </w:rPr>
            </w:pPr>
            <w:r>
              <w:rPr>
                <w:rFonts w:hint="eastAsia"/>
                <w:sz w:val="18"/>
                <w:szCs w:val="18"/>
              </w:rPr>
              <w:t>建筑的平面、楼层规划和功能布局</w:t>
            </w:r>
          </w:p>
        </w:tc>
        <w:tc>
          <w:tcPr>
            <w:tcW w:w="1034" w:type="dxa"/>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8" w:type="dxa"/>
            <w:vMerge w:val="continue"/>
            <w:vAlign w:val="center"/>
          </w:tcPr>
          <w:p>
            <w:pPr>
              <w:jc w:val="center"/>
              <w:rPr>
                <w:sz w:val="18"/>
                <w:szCs w:val="18"/>
              </w:rPr>
            </w:pPr>
          </w:p>
        </w:tc>
        <w:tc>
          <w:tcPr>
            <w:tcW w:w="1340" w:type="dxa"/>
            <w:vAlign w:val="center"/>
          </w:tcPr>
          <w:p>
            <w:pPr>
              <w:jc w:val="center"/>
              <w:rPr>
                <w:sz w:val="18"/>
                <w:szCs w:val="18"/>
              </w:rPr>
            </w:pPr>
            <w:r>
              <w:rPr>
                <w:rFonts w:hint="eastAsia"/>
                <w:sz w:val="18"/>
                <w:szCs w:val="18"/>
              </w:rPr>
              <w:t>防火间距</w:t>
            </w:r>
          </w:p>
        </w:tc>
        <w:tc>
          <w:tcPr>
            <w:tcW w:w="4680" w:type="dxa"/>
            <w:vAlign w:val="center"/>
          </w:tcPr>
          <w:p>
            <w:pPr>
              <w:rPr>
                <w:sz w:val="18"/>
                <w:szCs w:val="18"/>
              </w:rPr>
            </w:pPr>
            <w:r>
              <w:rPr>
                <w:rFonts w:hint="eastAsia"/>
                <w:sz w:val="18"/>
                <w:szCs w:val="18"/>
              </w:rPr>
              <w:t>单体建筑之间、院落之间、建筑群之间的间距</w:t>
            </w:r>
          </w:p>
        </w:tc>
        <w:tc>
          <w:tcPr>
            <w:tcW w:w="1034" w:type="dxa"/>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8" w:type="dxa"/>
            <w:vMerge w:val="continue"/>
            <w:vAlign w:val="center"/>
          </w:tcPr>
          <w:p>
            <w:pPr>
              <w:jc w:val="center"/>
              <w:rPr>
                <w:sz w:val="18"/>
                <w:szCs w:val="18"/>
              </w:rPr>
            </w:pPr>
          </w:p>
        </w:tc>
        <w:tc>
          <w:tcPr>
            <w:tcW w:w="1340" w:type="dxa"/>
            <w:vAlign w:val="center"/>
          </w:tcPr>
          <w:p>
            <w:pPr>
              <w:jc w:val="center"/>
              <w:rPr>
                <w:sz w:val="18"/>
                <w:szCs w:val="18"/>
              </w:rPr>
            </w:pPr>
            <w:r>
              <w:rPr>
                <w:rFonts w:hint="eastAsia"/>
                <w:sz w:val="18"/>
                <w:szCs w:val="18"/>
              </w:rPr>
              <w:t>防火分隔措施</w:t>
            </w:r>
          </w:p>
        </w:tc>
        <w:tc>
          <w:tcPr>
            <w:tcW w:w="4680" w:type="dxa"/>
            <w:vAlign w:val="center"/>
          </w:tcPr>
          <w:p>
            <w:pPr>
              <w:rPr>
                <w:sz w:val="18"/>
                <w:szCs w:val="18"/>
              </w:rPr>
            </w:pPr>
            <w:r>
              <w:rPr>
                <w:rFonts w:hint="eastAsia"/>
                <w:sz w:val="18"/>
                <w:szCs w:val="18"/>
              </w:rPr>
              <w:t>防火墙、消防水幕等</w:t>
            </w:r>
          </w:p>
        </w:tc>
        <w:tc>
          <w:tcPr>
            <w:tcW w:w="1034" w:type="dxa"/>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8" w:type="dxa"/>
            <w:vMerge w:val="continue"/>
            <w:vAlign w:val="center"/>
          </w:tcPr>
          <w:p>
            <w:pPr>
              <w:jc w:val="center"/>
              <w:rPr>
                <w:sz w:val="18"/>
                <w:szCs w:val="18"/>
              </w:rPr>
            </w:pPr>
          </w:p>
        </w:tc>
        <w:tc>
          <w:tcPr>
            <w:tcW w:w="1340" w:type="dxa"/>
            <w:vAlign w:val="center"/>
          </w:tcPr>
          <w:p>
            <w:pPr>
              <w:jc w:val="center"/>
              <w:rPr>
                <w:sz w:val="18"/>
                <w:szCs w:val="18"/>
              </w:rPr>
            </w:pPr>
            <w:r>
              <w:rPr>
                <w:rFonts w:hint="eastAsia"/>
                <w:sz w:val="18"/>
                <w:szCs w:val="18"/>
              </w:rPr>
              <w:t>安全疏散</w:t>
            </w:r>
          </w:p>
        </w:tc>
        <w:tc>
          <w:tcPr>
            <w:tcW w:w="4680" w:type="dxa"/>
            <w:vAlign w:val="center"/>
          </w:tcPr>
          <w:p>
            <w:pPr>
              <w:rPr>
                <w:sz w:val="18"/>
                <w:szCs w:val="18"/>
              </w:rPr>
            </w:pPr>
            <w:r>
              <w:rPr>
                <w:rFonts w:hint="eastAsia"/>
                <w:sz w:val="18"/>
                <w:szCs w:val="18"/>
              </w:rPr>
              <w:t>安全出口、疏散通道数量及宽度、最远疏散距离</w:t>
            </w:r>
            <w:r>
              <w:rPr>
                <w:sz w:val="18"/>
                <w:szCs w:val="18"/>
              </w:rPr>
              <w:t xml:space="preserve"> </w:t>
            </w:r>
          </w:p>
        </w:tc>
        <w:tc>
          <w:tcPr>
            <w:tcW w:w="1034" w:type="dxa"/>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8" w:type="dxa"/>
            <w:vMerge w:val="restart"/>
            <w:vAlign w:val="center"/>
          </w:tcPr>
          <w:p>
            <w:pPr>
              <w:jc w:val="center"/>
              <w:rPr>
                <w:sz w:val="18"/>
                <w:szCs w:val="18"/>
              </w:rPr>
            </w:pPr>
            <w:r>
              <w:rPr>
                <w:rFonts w:hint="eastAsia" w:ascii="黑体" w:hAnsi="黑体" w:eastAsia="黑体" w:cs="黑体"/>
                <w:sz w:val="18"/>
                <w:szCs w:val="18"/>
              </w:rPr>
              <w:t>消防器材、设施设备</w:t>
            </w:r>
          </w:p>
        </w:tc>
        <w:tc>
          <w:tcPr>
            <w:tcW w:w="1340" w:type="dxa"/>
            <w:vAlign w:val="center"/>
          </w:tcPr>
          <w:p>
            <w:pPr>
              <w:jc w:val="center"/>
              <w:rPr>
                <w:sz w:val="18"/>
                <w:szCs w:val="18"/>
              </w:rPr>
            </w:pPr>
            <w:r>
              <w:rPr>
                <w:rFonts w:hint="eastAsia"/>
                <w:sz w:val="18"/>
                <w:szCs w:val="18"/>
              </w:rPr>
              <w:t>灭火器</w:t>
            </w:r>
          </w:p>
        </w:tc>
        <w:tc>
          <w:tcPr>
            <w:tcW w:w="4680" w:type="dxa"/>
            <w:vAlign w:val="center"/>
          </w:tcPr>
          <w:p>
            <w:pPr>
              <w:rPr>
                <w:sz w:val="18"/>
                <w:szCs w:val="18"/>
              </w:rPr>
            </w:pPr>
            <w:r>
              <w:rPr>
                <w:rFonts w:hint="eastAsia"/>
                <w:sz w:val="18"/>
                <w:szCs w:val="18"/>
              </w:rPr>
              <w:t>灭火器的类型、灭火级别、保护距离</w:t>
            </w:r>
          </w:p>
        </w:tc>
        <w:tc>
          <w:tcPr>
            <w:tcW w:w="1034" w:type="dxa"/>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8" w:type="dxa"/>
            <w:vMerge w:val="continue"/>
            <w:vAlign w:val="center"/>
          </w:tcPr>
          <w:p>
            <w:pPr>
              <w:jc w:val="center"/>
              <w:rPr>
                <w:sz w:val="18"/>
                <w:szCs w:val="18"/>
              </w:rPr>
            </w:pPr>
          </w:p>
        </w:tc>
        <w:tc>
          <w:tcPr>
            <w:tcW w:w="1340" w:type="dxa"/>
            <w:vAlign w:val="center"/>
          </w:tcPr>
          <w:p>
            <w:pPr>
              <w:jc w:val="center"/>
              <w:rPr>
                <w:sz w:val="18"/>
                <w:szCs w:val="18"/>
              </w:rPr>
            </w:pPr>
            <w:r>
              <w:rPr>
                <w:rFonts w:hint="eastAsia"/>
                <w:sz w:val="18"/>
                <w:szCs w:val="18"/>
              </w:rPr>
              <w:t>疏散逃生器材</w:t>
            </w:r>
          </w:p>
        </w:tc>
        <w:tc>
          <w:tcPr>
            <w:tcW w:w="4680" w:type="dxa"/>
            <w:vAlign w:val="center"/>
          </w:tcPr>
          <w:p>
            <w:pPr>
              <w:rPr>
                <w:sz w:val="18"/>
                <w:szCs w:val="18"/>
              </w:rPr>
            </w:pPr>
            <w:r>
              <w:rPr>
                <w:rFonts w:hint="eastAsia"/>
                <w:sz w:val="18"/>
                <w:szCs w:val="18"/>
              </w:rPr>
              <w:t>呼吸面罩、缓降绳、手电等</w:t>
            </w:r>
          </w:p>
        </w:tc>
        <w:tc>
          <w:tcPr>
            <w:tcW w:w="1034" w:type="dxa"/>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8" w:type="dxa"/>
            <w:vMerge w:val="continue"/>
            <w:vAlign w:val="center"/>
          </w:tcPr>
          <w:p>
            <w:pPr>
              <w:jc w:val="center"/>
              <w:rPr>
                <w:sz w:val="18"/>
                <w:szCs w:val="18"/>
              </w:rPr>
            </w:pPr>
          </w:p>
        </w:tc>
        <w:tc>
          <w:tcPr>
            <w:tcW w:w="1340" w:type="dxa"/>
            <w:vAlign w:val="center"/>
          </w:tcPr>
          <w:p>
            <w:pPr>
              <w:jc w:val="center"/>
              <w:rPr>
                <w:sz w:val="18"/>
                <w:szCs w:val="18"/>
              </w:rPr>
            </w:pPr>
            <w:r>
              <w:rPr>
                <w:rFonts w:hint="eastAsia"/>
                <w:sz w:val="18"/>
                <w:szCs w:val="18"/>
              </w:rPr>
              <w:t>消防给水系统</w:t>
            </w:r>
          </w:p>
        </w:tc>
        <w:tc>
          <w:tcPr>
            <w:tcW w:w="4680" w:type="dxa"/>
            <w:vAlign w:val="center"/>
          </w:tcPr>
          <w:p>
            <w:pPr>
              <w:rPr>
                <w:sz w:val="18"/>
                <w:szCs w:val="18"/>
              </w:rPr>
            </w:pPr>
            <w:r>
              <w:rPr>
                <w:rFonts w:hint="eastAsia"/>
                <w:sz w:val="18"/>
                <w:szCs w:val="18"/>
              </w:rPr>
              <w:t>消防水源：天然水源（含取水条件，水文变化等）；消防水池、水箱和水缸等（类型，容量）；供水管网（管材，尺寸，消火栓数量、距离、栓口压力、水枪水带等情况，）</w:t>
            </w:r>
          </w:p>
        </w:tc>
        <w:tc>
          <w:tcPr>
            <w:tcW w:w="1034" w:type="dxa"/>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8" w:type="dxa"/>
            <w:vMerge w:val="continue"/>
            <w:vAlign w:val="center"/>
          </w:tcPr>
          <w:p>
            <w:pPr>
              <w:jc w:val="center"/>
              <w:rPr>
                <w:sz w:val="18"/>
                <w:szCs w:val="18"/>
              </w:rPr>
            </w:pPr>
          </w:p>
        </w:tc>
        <w:tc>
          <w:tcPr>
            <w:tcW w:w="1340" w:type="dxa"/>
            <w:vAlign w:val="center"/>
          </w:tcPr>
          <w:p>
            <w:pPr>
              <w:jc w:val="center"/>
              <w:rPr>
                <w:sz w:val="18"/>
                <w:szCs w:val="18"/>
              </w:rPr>
            </w:pPr>
            <w:r>
              <w:rPr>
                <w:rFonts w:hint="eastAsia"/>
                <w:sz w:val="18"/>
                <w:szCs w:val="18"/>
              </w:rPr>
              <w:t>消防灭火系统</w:t>
            </w:r>
          </w:p>
        </w:tc>
        <w:tc>
          <w:tcPr>
            <w:tcW w:w="4680" w:type="dxa"/>
            <w:vAlign w:val="center"/>
          </w:tcPr>
          <w:p>
            <w:pPr>
              <w:rPr>
                <w:sz w:val="18"/>
                <w:szCs w:val="18"/>
              </w:rPr>
            </w:pPr>
            <w:r>
              <w:rPr>
                <w:rFonts w:hint="eastAsia"/>
                <w:sz w:val="18"/>
                <w:szCs w:val="18"/>
              </w:rPr>
              <w:t>自动喷水灭火系统、消防水炮、移动式高压喷雾系统、气体灭火系统</w:t>
            </w:r>
          </w:p>
        </w:tc>
        <w:tc>
          <w:tcPr>
            <w:tcW w:w="1034" w:type="dxa"/>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1468" w:type="dxa"/>
            <w:vMerge w:val="continue"/>
            <w:vAlign w:val="center"/>
          </w:tcPr>
          <w:p>
            <w:pPr>
              <w:jc w:val="center"/>
              <w:rPr>
                <w:sz w:val="18"/>
                <w:szCs w:val="18"/>
              </w:rPr>
            </w:pPr>
          </w:p>
        </w:tc>
        <w:tc>
          <w:tcPr>
            <w:tcW w:w="1340" w:type="dxa"/>
            <w:vAlign w:val="center"/>
          </w:tcPr>
          <w:p>
            <w:pPr>
              <w:jc w:val="center"/>
              <w:rPr>
                <w:sz w:val="18"/>
                <w:szCs w:val="18"/>
              </w:rPr>
            </w:pPr>
            <w:r>
              <w:rPr>
                <w:rFonts w:hint="eastAsia"/>
                <w:sz w:val="18"/>
                <w:szCs w:val="18"/>
              </w:rPr>
              <w:t>火灾自动报警系统</w:t>
            </w:r>
          </w:p>
        </w:tc>
        <w:tc>
          <w:tcPr>
            <w:tcW w:w="4680" w:type="dxa"/>
            <w:vAlign w:val="center"/>
          </w:tcPr>
          <w:p>
            <w:pPr>
              <w:rPr>
                <w:sz w:val="18"/>
                <w:szCs w:val="18"/>
              </w:rPr>
            </w:pPr>
            <w:r>
              <w:rPr>
                <w:rFonts w:hint="eastAsia"/>
                <w:sz w:val="18"/>
                <w:szCs w:val="18"/>
              </w:rPr>
              <w:t>是否设置火灾自动报警系统；已有火灾自动报警系统的火灾自动报警控制器、火灾探测器、手动报警、消防广播、火灾声光报警器等设备选型及设置是否合理，是否正常工作</w:t>
            </w:r>
          </w:p>
        </w:tc>
        <w:tc>
          <w:tcPr>
            <w:tcW w:w="1034" w:type="dxa"/>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1468" w:type="dxa"/>
            <w:vMerge w:val="continue"/>
            <w:vAlign w:val="center"/>
          </w:tcPr>
          <w:p>
            <w:pPr>
              <w:jc w:val="center"/>
              <w:rPr>
                <w:sz w:val="18"/>
                <w:szCs w:val="18"/>
              </w:rPr>
            </w:pPr>
          </w:p>
        </w:tc>
        <w:tc>
          <w:tcPr>
            <w:tcW w:w="1340" w:type="dxa"/>
            <w:vAlign w:val="center"/>
          </w:tcPr>
          <w:p>
            <w:pPr>
              <w:jc w:val="center"/>
              <w:rPr>
                <w:sz w:val="18"/>
                <w:szCs w:val="18"/>
              </w:rPr>
            </w:pPr>
            <w:r>
              <w:rPr>
                <w:rFonts w:hint="eastAsia"/>
                <w:sz w:val="18"/>
                <w:szCs w:val="18"/>
              </w:rPr>
              <w:t>消防供配电</w:t>
            </w:r>
          </w:p>
        </w:tc>
        <w:tc>
          <w:tcPr>
            <w:tcW w:w="4680" w:type="dxa"/>
            <w:vAlign w:val="center"/>
          </w:tcPr>
          <w:p>
            <w:pPr>
              <w:rPr>
                <w:sz w:val="18"/>
                <w:szCs w:val="18"/>
              </w:rPr>
            </w:pPr>
            <w:r>
              <w:rPr>
                <w:rFonts w:hint="eastAsia"/>
                <w:sz w:val="18"/>
                <w:szCs w:val="18"/>
              </w:rPr>
              <w:t>消防电源及配电</w:t>
            </w:r>
            <w:r>
              <w:rPr>
                <w:sz w:val="18"/>
                <w:szCs w:val="18"/>
              </w:rPr>
              <w:t>:</w:t>
            </w:r>
            <w:r>
              <w:rPr>
                <w:rFonts w:hint="eastAsia"/>
                <w:sz w:val="18"/>
                <w:szCs w:val="18"/>
              </w:rPr>
              <w:t>消防配电设备选型及安装、消防配电线路选型及敷设、消防设备的控制或保护电器等</w:t>
            </w:r>
            <w:r>
              <w:rPr>
                <w:sz w:val="18"/>
                <w:szCs w:val="18"/>
              </w:rPr>
              <w:t xml:space="preserve"> </w:t>
            </w:r>
          </w:p>
        </w:tc>
        <w:tc>
          <w:tcPr>
            <w:tcW w:w="1034" w:type="dxa"/>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8" w:type="dxa"/>
            <w:vMerge w:val="continue"/>
            <w:vAlign w:val="center"/>
          </w:tcPr>
          <w:p>
            <w:pPr>
              <w:jc w:val="center"/>
              <w:rPr>
                <w:sz w:val="18"/>
                <w:szCs w:val="18"/>
              </w:rPr>
            </w:pPr>
          </w:p>
        </w:tc>
        <w:tc>
          <w:tcPr>
            <w:tcW w:w="1340" w:type="dxa"/>
            <w:vAlign w:val="center"/>
          </w:tcPr>
          <w:p>
            <w:pPr>
              <w:jc w:val="center"/>
              <w:rPr>
                <w:sz w:val="18"/>
                <w:szCs w:val="18"/>
              </w:rPr>
            </w:pPr>
            <w:r>
              <w:rPr>
                <w:rFonts w:hint="eastAsia"/>
                <w:sz w:val="18"/>
                <w:szCs w:val="18"/>
              </w:rPr>
              <w:t>应急照明及疏散指示</w:t>
            </w:r>
          </w:p>
        </w:tc>
        <w:tc>
          <w:tcPr>
            <w:tcW w:w="4680" w:type="dxa"/>
            <w:vAlign w:val="center"/>
          </w:tcPr>
          <w:p>
            <w:pPr>
              <w:rPr>
                <w:sz w:val="18"/>
                <w:szCs w:val="18"/>
              </w:rPr>
            </w:pPr>
            <w:r>
              <w:rPr>
                <w:rFonts w:hint="eastAsia"/>
                <w:sz w:val="18"/>
                <w:szCs w:val="18"/>
              </w:rPr>
              <w:t>备用照明、疏散照明、疏散指示灯具或标识</w:t>
            </w:r>
          </w:p>
        </w:tc>
        <w:tc>
          <w:tcPr>
            <w:tcW w:w="1034" w:type="dxa"/>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8" w:type="dxa"/>
            <w:vMerge w:val="restart"/>
            <w:vAlign w:val="center"/>
          </w:tcPr>
          <w:p>
            <w:pPr>
              <w:jc w:val="center"/>
              <w:rPr>
                <w:rFonts w:ascii="黑体" w:hAnsi="黑体" w:eastAsia="黑体" w:cs="黑体"/>
                <w:sz w:val="18"/>
                <w:szCs w:val="18"/>
              </w:rPr>
            </w:pPr>
            <w:r>
              <w:rPr>
                <w:rFonts w:hint="eastAsia" w:ascii="黑体" w:hAnsi="黑体" w:eastAsia="黑体" w:cs="黑体"/>
                <w:sz w:val="18"/>
                <w:szCs w:val="18"/>
              </w:rPr>
              <w:t>灭火救援条件</w:t>
            </w:r>
          </w:p>
        </w:tc>
        <w:tc>
          <w:tcPr>
            <w:tcW w:w="1340" w:type="dxa"/>
            <w:vAlign w:val="center"/>
          </w:tcPr>
          <w:p>
            <w:pPr>
              <w:jc w:val="center"/>
              <w:rPr>
                <w:sz w:val="18"/>
                <w:szCs w:val="18"/>
              </w:rPr>
            </w:pPr>
            <w:r>
              <w:rPr>
                <w:rFonts w:hint="eastAsia"/>
                <w:sz w:val="18"/>
                <w:szCs w:val="18"/>
              </w:rPr>
              <w:t>消防站</w:t>
            </w:r>
          </w:p>
        </w:tc>
        <w:tc>
          <w:tcPr>
            <w:tcW w:w="4680" w:type="dxa"/>
            <w:vAlign w:val="center"/>
          </w:tcPr>
          <w:p>
            <w:pPr>
              <w:rPr>
                <w:sz w:val="18"/>
                <w:szCs w:val="18"/>
              </w:rPr>
            </w:pPr>
            <w:r>
              <w:rPr>
                <w:rFonts w:hint="eastAsia"/>
                <w:sz w:val="18"/>
                <w:szCs w:val="18"/>
              </w:rPr>
              <w:t>消防装备条件，预计到场时间</w:t>
            </w:r>
          </w:p>
        </w:tc>
        <w:tc>
          <w:tcPr>
            <w:tcW w:w="1034" w:type="dxa"/>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8" w:type="dxa"/>
            <w:vMerge w:val="continue"/>
            <w:vAlign w:val="center"/>
          </w:tcPr>
          <w:p>
            <w:pPr>
              <w:jc w:val="center"/>
              <w:rPr>
                <w:rFonts w:ascii="黑体" w:hAnsi="黑体" w:eastAsia="黑体" w:cs="黑体"/>
                <w:sz w:val="18"/>
                <w:szCs w:val="18"/>
              </w:rPr>
            </w:pPr>
          </w:p>
        </w:tc>
        <w:tc>
          <w:tcPr>
            <w:tcW w:w="1340" w:type="dxa"/>
            <w:vAlign w:val="center"/>
          </w:tcPr>
          <w:p>
            <w:pPr>
              <w:jc w:val="center"/>
              <w:rPr>
                <w:sz w:val="18"/>
                <w:szCs w:val="18"/>
              </w:rPr>
            </w:pPr>
            <w:r>
              <w:rPr>
                <w:rFonts w:hint="eastAsia"/>
                <w:sz w:val="18"/>
                <w:szCs w:val="18"/>
              </w:rPr>
              <w:t>微型消防站</w:t>
            </w:r>
          </w:p>
        </w:tc>
        <w:tc>
          <w:tcPr>
            <w:tcW w:w="4680" w:type="dxa"/>
            <w:vAlign w:val="center"/>
          </w:tcPr>
          <w:p>
            <w:pPr>
              <w:rPr>
                <w:sz w:val="18"/>
                <w:szCs w:val="18"/>
              </w:rPr>
            </w:pPr>
            <w:r>
              <w:rPr>
                <w:rFonts w:hint="eastAsia"/>
                <w:sz w:val="18"/>
                <w:szCs w:val="18"/>
              </w:rPr>
              <w:t>消防装备条件，预计到场时间</w:t>
            </w:r>
          </w:p>
        </w:tc>
        <w:tc>
          <w:tcPr>
            <w:tcW w:w="1034" w:type="dxa"/>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8" w:type="dxa"/>
            <w:vMerge w:val="continue"/>
            <w:vAlign w:val="center"/>
          </w:tcPr>
          <w:p>
            <w:pPr>
              <w:jc w:val="center"/>
              <w:rPr>
                <w:rFonts w:ascii="黑体" w:hAnsi="黑体" w:eastAsia="黑体" w:cs="黑体"/>
                <w:sz w:val="18"/>
                <w:szCs w:val="18"/>
              </w:rPr>
            </w:pPr>
          </w:p>
        </w:tc>
        <w:tc>
          <w:tcPr>
            <w:tcW w:w="1340" w:type="dxa"/>
            <w:vAlign w:val="center"/>
          </w:tcPr>
          <w:p>
            <w:pPr>
              <w:jc w:val="center"/>
              <w:rPr>
                <w:sz w:val="18"/>
                <w:szCs w:val="18"/>
              </w:rPr>
            </w:pPr>
            <w:r>
              <w:rPr>
                <w:rFonts w:hint="eastAsia"/>
                <w:sz w:val="18"/>
                <w:szCs w:val="18"/>
              </w:rPr>
              <w:t>消防道路</w:t>
            </w:r>
          </w:p>
        </w:tc>
        <w:tc>
          <w:tcPr>
            <w:tcW w:w="4680" w:type="dxa"/>
            <w:vAlign w:val="center"/>
          </w:tcPr>
          <w:p>
            <w:pPr>
              <w:rPr>
                <w:sz w:val="18"/>
                <w:szCs w:val="18"/>
              </w:rPr>
            </w:pPr>
            <w:r>
              <w:rPr>
                <w:rFonts w:hint="eastAsia"/>
                <w:sz w:val="18"/>
                <w:szCs w:val="18"/>
              </w:rPr>
              <w:t>道路净宽度和高度及通行状况</w:t>
            </w:r>
          </w:p>
        </w:tc>
        <w:tc>
          <w:tcPr>
            <w:tcW w:w="1034" w:type="dxa"/>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8" w:type="dxa"/>
            <w:vMerge w:val="continue"/>
            <w:vAlign w:val="center"/>
          </w:tcPr>
          <w:p>
            <w:pPr>
              <w:jc w:val="center"/>
              <w:rPr>
                <w:rFonts w:ascii="黑体" w:hAnsi="黑体" w:eastAsia="黑体" w:cs="黑体"/>
                <w:sz w:val="18"/>
                <w:szCs w:val="18"/>
              </w:rPr>
            </w:pPr>
          </w:p>
        </w:tc>
        <w:tc>
          <w:tcPr>
            <w:tcW w:w="1340" w:type="dxa"/>
            <w:vAlign w:val="center"/>
          </w:tcPr>
          <w:p>
            <w:pPr>
              <w:jc w:val="center"/>
              <w:rPr>
                <w:sz w:val="18"/>
                <w:szCs w:val="18"/>
              </w:rPr>
            </w:pPr>
            <w:r>
              <w:rPr>
                <w:rFonts w:hint="eastAsia"/>
                <w:sz w:val="18"/>
                <w:szCs w:val="18"/>
              </w:rPr>
              <w:t>消防救援场地</w:t>
            </w:r>
          </w:p>
        </w:tc>
        <w:tc>
          <w:tcPr>
            <w:tcW w:w="4680" w:type="dxa"/>
            <w:vAlign w:val="center"/>
          </w:tcPr>
          <w:p>
            <w:pPr>
              <w:rPr>
                <w:sz w:val="18"/>
                <w:szCs w:val="18"/>
              </w:rPr>
            </w:pPr>
            <w:r>
              <w:rPr>
                <w:rFonts w:hint="eastAsia"/>
                <w:sz w:val="18"/>
                <w:szCs w:val="18"/>
              </w:rPr>
              <w:t>消防扑救面，消防扑救场地，消防装备到达条件</w:t>
            </w:r>
          </w:p>
        </w:tc>
        <w:tc>
          <w:tcPr>
            <w:tcW w:w="1034" w:type="dxa"/>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8" w:type="dxa"/>
            <w:vMerge w:val="restart"/>
            <w:vAlign w:val="center"/>
          </w:tcPr>
          <w:p>
            <w:pPr>
              <w:jc w:val="center"/>
              <w:rPr>
                <w:rFonts w:ascii="黑体" w:hAnsi="黑体" w:eastAsia="黑体" w:cs="黑体"/>
                <w:sz w:val="18"/>
                <w:szCs w:val="18"/>
              </w:rPr>
            </w:pPr>
            <w:r>
              <w:rPr>
                <w:rFonts w:hint="eastAsia" w:ascii="黑体" w:hAnsi="黑体" w:eastAsia="黑体" w:cs="黑体"/>
                <w:sz w:val="18"/>
                <w:szCs w:val="18"/>
              </w:rPr>
              <w:t>火灾危险源</w:t>
            </w:r>
          </w:p>
        </w:tc>
        <w:tc>
          <w:tcPr>
            <w:tcW w:w="1340" w:type="dxa"/>
            <w:vAlign w:val="center"/>
          </w:tcPr>
          <w:p>
            <w:pPr>
              <w:jc w:val="center"/>
              <w:rPr>
                <w:sz w:val="18"/>
                <w:szCs w:val="18"/>
              </w:rPr>
            </w:pPr>
            <w:r>
              <w:rPr>
                <w:rFonts w:hint="eastAsia"/>
                <w:sz w:val="18"/>
                <w:szCs w:val="18"/>
              </w:rPr>
              <w:t>储存易燃物</w:t>
            </w:r>
          </w:p>
        </w:tc>
        <w:tc>
          <w:tcPr>
            <w:tcW w:w="4680" w:type="dxa"/>
            <w:vAlign w:val="center"/>
          </w:tcPr>
          <w:p>
            <w:pPr>
              <w:rPr>
                <w:sz w:val="18"/>
                <w:szCs w:val="18"/>
              </w:rPr>
            </w:pPr>
            <w:r>
              <w:rPr>
                <w:rFonts w:hint="eastAsia"/>
                <w:sz w:val="18"/>
                <w:szCs w:val="18"/>
              </w:rPr>
              <w:t>液体</w:t>
            </w:r>
            <w:r>
              <w:rPr>
                <w:sz w:val="18"/>
                <w:szCs w:val="18"/>
              </w:rPr>
              <w:t>(</w:t>
            </w:r>
            <w:r>
              <w:rPr>
                <w:rFonts w:hint="eastAsia"/>
                <w:sz w:val="18"/>
                <w:szCs w:val="18"/>
              </w:rPr>
              <w:t>汽油、柴油等</w:t>
            </w:r>
            <w:r>
              <w:rPr>
                <w:sz w:val="18"/>
                <w:szCs w:val="18"/>
              </w:rPr>
              <w:t>)</w:t>
            </w:r>
            <w:r>
              <w:rPr>
                <w:rFonts w:hint="eastAsia"/>
                <w:sz w:val="18"/>
                <w:szCs w:val="18"/>
              </w:rPr>
              <w:t>的种类和储量</w:t>
            </w:r>
          </w:p>
        </w:tc>
        <w:tc>
          <w:tcPr>
            <w:tcW w:w="1034" w:type="dxa"/>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8" w:type="dxa"/>
            <w:vMerge w:val="continue"/>
            <w:vAlign w:val="center"/>
          </w:tcPr>
          <w:p>
            <w:pPr>
              <w:jc w:val="center"/>
              <w:rPr>
                <w:rFonts w:ascii="黑体" w:hAnsi="黑体" w:eastAsia="黑体" w:cs="黑体"/>
                <w:sz w:val="18"/>
                <w:szCs w:val="18"/>
              </w:rPr>
            </w:pPr>
          </w:p>
        </w:tc>
        <w:tc>
          <w:tcPr>
            <w:tcW w:w="1340" w:type="dxa"/>
            <w:vAlign w:val="center"/>
          </w:tcPr>
          <w:p>
            <w:pPr>
              <w:jc w:val="center"/>
              <w:rPr>
                <w:sz w:val="18"/>
                <w:szCs w:val="18"/>
              </w:rPr>
            </w:pPr>
            <w:r>
              <w:rPr>
                <w:rFonts w:hint="eastAsia"/>
                <w:sz w:val="18"/>
                <w:szCs w:val="18"/>
              </w:rPr>
              <w:t>燃气</w:t>
            </w:r>
          </w:p>
        </w:tc>
        <w:tc>
          <w:tcPr>
            <w:tcW w:w="4680" w:type="dxa"/>
            <w:vAlign w:val="center"/>
          </w:tcPr>
          <w:p>
            <w:pPr>
              <w:rPr>
                <w:sz w:val="18"/>
                <w:szCs w:val="18"/>
              </w:rPr>
            </w:pPr>
            <w:r>
              <w:rPr>
                <w:rFonts w:hint="eastAsia"/>
                <w:sz w:val="18"/>
                <w:szCs w:val="18"/>
              </w:rPr>
              <w:t>燃气使用和存放场所；与明火的安全距离；建筑物内的燃气管道；沼气使用</w:t>
            </w:r>
          </w:p>
        </w:tc>
        <w:tc>
          <w:tcPr>
            <w:tcW w:w="1034" w:type="dxa"/>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8" w:type="dxa"/>
            <w:vMerge w:val="continue"/>
            <w:vAlign w:val="center"/>
          </w:tcPr>
          <w:p>
            <w:pPr>
              <w:jc w:val="center"/>
              <w:rPr>
                <w:rFonts w:ascii="黑体" w:hAnsi="黑体" w:eastAsia="黑体" w:cs="黑体"/>
                <w:sz w:val="18"/>
                <w:szCs w:val="18"/>
              </w:rPr>
            </w:pPr>
          </w:p>
        </w:tc>
        <w:tc>
          <w:tcPr>
            <w:tcW w:w="1340" w:type="dxa"/>
            <w:vAlign w:val="center"/>
          </w:tcPr>
          <w:p>
            <w:pPr>
              <w:jc w:val="center"/>
              <w:rPr>
                <w:sz w:val="18"/>
                <w:szCs w:val="18"/>
              </w:rPr>
            </w:pPr>
            <w:r>
              <w:rPr>
                <w:rFonts w:hint="eastAsia"/>
                <w:sz w:val="18"/>
                <w:szCs w:val="18"/>
              </w:rPr>
              <w:t>电气火灾隐患</w:t>
            </w:r>
          </w:p>
        </w:tc>
        <w:tc>
          <w:tcPr>
            <w:tcW w:w="4680" w:type="dxa"/>
            <w:vAlign w:val="center"/>
          </w:tcPr>
          <w:p>
            <w:pPr>
              <w:rPr>
                <w:sz w:val="18"/>
                <w:szCs w:val="18"/>
              </w:rPr>
            </w:pPr>
            <w:r>
              <w:rPr>
                <w:rFonts w:hint="eastAsia"/>
                <w:sz w:val="18"/>
                <w:szCs w:val="18"/>
              </w:rPr>
              <w:t>配电箱材质及安装方式，配电线缆选型、截面、敷设及接头，配电系统设备与线路保护，电气绝缘性，接地等情况</w:t>
            </w:r>
            <w:r>
              <w:rPr>
                <w:sz w:val="18"/>
                <w:szCs w:val="18"/>
              </w:rPr>
              <w:t xml:space="preserve"> </w:t>
            </w:r>
          </w:p>
        </w:tc>
        <w:tc>
          <w:tcPr>
            <w:tcW w:w="1034" w:type="dxa"/>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1468" w:type="dxa"/>
            <w:vMerge w:val="continue"/>
            <w:vAlign w:val="center"/>
          </w:tcPr>
          <w:p>
            <w:pPr>
              <w:jc w:val="center"/>
              <w:rPr>
                <w:rFonts w:ascii="黑体" w:hAnsi="黑体" w:eastAsia="黑体" w:cs="黑体"/>
                <w:sz w:val="18"/>
                <w:szCs w:val="18"/>
              </w:rPr>
            </w:pPr>
          </w:p>
        </w:tc>
        <w:tc>
          <w:tcPr>
            <w:tcW w:w="1340" w:type="dxa"/>
            <w:vAlign w:val="center"/>
          </w:tcPr>
          <w:p>
            <w:pPr>
              <w:jc w:val="center"/>
              <w:rPr>
                <w:sz w:val="18"/>
                <w:szCs w:val="18"/>
              </w:rPr>
            </w:pPr>
            <w:r>
              <w:rPr>
                <w:rFonts w:hint="eastAsia"/>
                <w:sz w:val="18"/>
                <w:szCs w:val="18"/>
              </w:rPr>
              <w:t>雷击</w:t>
            </w:r>
          </w:p>
        </w:tc>
        <w:tc>
          <w:tcPr>
            <w:tcW w:w="4680" w:type="dxa"/>
            <w:vAlign w:val="center"/>
          </w:tcPr>
          <w:p>
            <w:pPr>
              <w:rPr>
                <w:sz w:val="18"/>
                <w:szCs w:val="18"/>
              </w:rPr>
            </w:pPr>
            <w:r>
              <w:rPr>
                <w:rFonts w:hint="eastAsia"/>
                <w:sz w:val="18"/>
                <w:szCs w:val="18"/>
              </w:rPr>
              <w:t>防雷措施及年度检测报告</w:t>
            </w:r>
            <w:r>
              <w:rPr>
                <w:sz w:val="18"/>
                <w:szCs w:val="18"/>
              </w:rPr>
              <w:t xml:space="preserve"> </w:t>
            </w:r>
          </w:p>
        </w:tc>
        <w:tc>
          <w:tcPr>
            <w:tcW w:w="1034" w:type="dxa"/>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8" w:type="dxa"/>
            <w:vMerge w:val="restart"/>
            <w:vAlign w:val="center"/>
          </w:tcPr>
          <w:p>
            <w:pPr>
              <w:jc w:val="center"/>
              <w:rPr>
                <w:rFonts w:ascii="黑体" w:hAnsi="黑体" w:eastAsia="黑体" w:cs="黑体"/>
                <w:sz w:val="18"/>
                <w:szCs w:val="18"/>
              </w:rPr>
            </w:pPr>
            <w:r>
              <w:rPr>
                <w:rFonts w:hint="eastAsia" w:ascii="黑体" w:hAnsi="黑体" w:eastAsia="黑体" w:cs="黑体"/>
                <w:sz w:val="18"/>
                <w:szCs w:val="18"/>
              </w:rPr>
              <w:t>消防安全管理、教育情况</w:t>
            </w:r>
          </w:p>
        </w:tc>
        <w:tc>
          <w:tcPr>
            <w:tcW w:w="1340" w:type="dxa"/>
            <w:vAlign w:val="center"/>
          </w:tcPr>
          <w:p>
            <w:pPr>
              <w:jc w:val="center"/>
              <w:rPr>
                <w:sz w:val="18"/>
                <w:szCs w:val="18"/>
              </w:rPr>
            </w:pPr>
            <w:r>
              <w:rPr>
                <w:rFonts w:hint="eastAsia"/>
                <w:sz w:val="18"/>
                <w:szCs w:val="18"/>
              </w:rPr>
              <w:t>消防安全责任</w:t>
            </w:r>
          </w:p>
        </w:tc>
        <w:tc>
          <w:tcPr>
            <w:tcW w:w="4680" w:type="dxa"/>
            <w:vAlign w:val="center"/>
          </w:tcPr>
          <w:p>
            <w:pPr>
              <w:rPr>
                <w:sz w:val="18"/>
                <w:szCs w:val="18"/>
              </w:rPr>
            </w:pPr>
            <w:r>
              <w:rPr>
                <w:rFonts w:hint="eastAsia"/>
                <w:sz w:val="18"/>
                <w:szCs w:val="18"/>
              </w:rPr>
              <w:t>消防安全责任人、消防安全责任制度落实情况</w:t>
            </w:r>
          </w:p>
        </w:tc>
        <w:tc>
          <w:tcPr>
            <w:tcW w:w="1034" w:type="dxa"/>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8" w:type="dxa"/>
            <w:vMerge w:val="continue"/>
            <w:vAlign w:val="center"/>
          </w:tcPr>
          <w:p>
            <w:pPr>
              <w:jc w:val="center"/>
              <w:rPr>
                <w:rFonts w:ascii="黑体" w:hAnsi="黑体" w:eastAsia="黑体" w:cs="黑体"/>
                <w:sz w:val="18"/>
                <w:szCs w:val="18"/>
              </w:rPr>
            </w:pPr>
          </w:p>
        </w:tc>
        <w:tc>
          <w:tcPr>
            <w:tcW w:w="1340" w:type="dxa"/>
            <w:vAlign w:val="center"/>
          </w:tcPr>
          <w:p>
            <w:pPr>
              <w:jc w:val="center"/>
              <w:rPr>
                <w:sz w:val="18"/>
                <w:szCs w:val="18"/>
              </w:rPr>
            </w:pPr>
            <w:r>
              <w:rPr>
                <w:rFonts w:hint="eastAsia"/>
                <w:sz w:val="18"/>
                <w:szCs w:val="18"/>
              </w:rPr>
              <w:t>消防安全制度</w:t>
            </w:r>
          </w:p>
        </w:tc>
        <w:tc>
          <w:tcPr>
            <w:tcW w:w="4680" w:type="dxa"/>
            <w:vAlign w:val="center"/>
          </w:tcPr>
          <w:p>
            <w:pPr>
              <w:rPr>
                <w:sz w:val="18"/>
                <w:szCs w:val="18"/>
              </w:rPr>
            </w:pPr>
            <w:r>
              <w:rPr>
                <w:rFonts w:hint="eastAsia"/>
                <w:sz w:val="18"/>
                <w:szCs w:val="18"/>
              </w:rPr>
              <w:t>消防安全制度建设情况</w:t>
            </w:r>
          </w:p>
        </w:tc>
        <w:tc>
          <w:tcPr>
            <w:tcW w:w="1034" w:type="dxa"/>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8" w:type="dxa"/>
            <w:vMerge w:val="continue"/>
            <w:vAlign w:val="center"/>
          </w:tcPr>
          <w:p>
            <w:pPr>
              <w:jc w:val="center"/>
              <w:rPr>
                <w:rFonts w:ascii="黑体" w:hAnsi="黑体" w:eastAsia="黑体" w:cs="黑体"/>
                <w:sz w:val="18"/>
                <w:szCs w:val="18"/>
              </w:rPr>
            </w:pPr>
          </w:p>
        </w:tc>
        <w:tc>
          <w:tcPr>
            <w:tcW w:w="1340" w:type="dxa"/>
            <w:vAlign w:val="center"/>
          </w:tcPr>
          <w:p>
            <w:pPr>
              <w:jc w:val="center"/>
              <w:rPr>
                <w:sz w:val="18"/>
                <w:szCs w:val="18"/>
              </w:rPr>
            </w:pPr>
            <w:r>
              <w:rPr>
                <w:rFonts w:hint="eastAsia"/>
                <w:sz w:val="18"/>
                <w:szCs w:val="18"/>
              </w:rPr>
              <w:t>消防安全教育</w:t>
            </w:r>
          </w:p>
        </w:tc>
        <w:tc>
          <w:tcPr>
            <w:tcW w:w="4680" w:type="dxa"/>
            <w:vAlign w:val="center"/>
          </w:tcPr>
          <w:p>
            <w:pPr>
              <w:rPr>
                <w:sz w:val="18"/>
                <w:szCs w:val="18"/>
              </w:rPr>
            </w:pPr>
            <w:r>
              <w:rPr>
                <w:rFonts w:hint="eastAsia"/>
                <w:sz w:val="18"/>
                <w:szCs w:val="18"/>
              </w:rPr>
              <w:t>相关人员消防安全教育培训情况</w:t>
            </w:r>
          </w:p>
        </w:tc>
        <w:tc>
          <w:tcPr>
            <w:tcW w:w="1034" w:type="dxa"/>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8" w:type="dxa"/>
            <w:vAlign w:val="center"/>
          </w:tcPr>
          <w:p>
            <w:pPr>
              <w:jc w:val="center"/>
              <w:rPr>
                <w:rFonts w:ascii="黑体" w:hAnsi="黑体" w:eastAsia="黑体" w:cs="黑体"/>
                <w:sz w:val="18"/>
                <w:szCs w:val="18"/>
              </w:rPr>
            </w:pPr>
            <w:r>
              <w:rPr>
                <w:rFonts w:hint="eastAsia" w:ascii="黑体" w:hAnsi="黑体" w:eastAsia="黑体" w:cs="黑体"/>
                <w:sz w:val="18"/>
                <w:szCs w:val="18"/>
              </w:rPr>
              <w:t>历史属性</w:t>
            </w:r>
          </w:p>
        </w:tc>
        <w:tc>
          <w:tcPr>
            <w:tcW w:w="1340" w:type="dxa"/>
            <w:vAlign w:val="center"/>
          </w:tcPr>
          <w:p>
            <w:pPr>
              <w:jc w:val="center"/>
              <w:rPr>
                <w:sz w:val="18"/>
                <w:szCs w:val="18"/>
              </w:rPr>
            </w:pPr>
            <w:r>
              <w:rPr>
                <w:rFonts w:hint="eastAsia"/>
                <w:sz w:val="18"/>
                <w:szCs w:val="18"/>
              </w:rPr>
              <w:t>文物</w:t>
            </w:r>
          </w:p>
        </w:tc>
        <w:tc>
          <w:tcPr>
            <w:tcW w:w="4680" w:type="dxa"/>
            <w:vAlign w:val="center"/>
          </w:tcPr>
          <w:p>
            <w:pPr>
              <w:rPr>
                <w:sz w:val="18"/>
                <w:szCs w:val="18"/>
              </w:rPr>
            </w:pPr>
            <w:r>
              <w:rPr>
                <w:rFonts w:hint="eastAsia"/>
                <w:sz w:val="18"/>
                <w:szCs w:val="18"/>
              </w:rPr>
              <w:t>是否属于各级文物</w:t>
            </w:r>
          </w:p>
        </w:tc>
        <w:tc>
          <w:tcPr>
            <w:tcW w:w="1034" w:type="dxa"/>
            <w:vAlign w:val="center"/>
          </w:tcPr>
          <w:p>
            <w:pPr>
              <w:rPr>
                <w:sz w:val="18"/>
                <w:szCs w:val="18"/>
              </w:rPr>
            </w:pPr>
          </w:p>
        </w:tc>
      </w:tr>
    </w:tbl>
    <w:p>
      <w:pPr>
        <w:jc w:val="center"/>
        <w:rPr>
          <w:rFonts w:ascii="宋体" w:hAnsi="宋体" w:cs="宋体"/>
          <w:b/>
          <w:bCs/>
        </w:rPr>
      </w:pPr>
    </w:p>
    <w:p>
      <w:pPr>
        <w:jc w:val="center"/>
        <w:rPr>
          <w:rFonts w:ascii="宋体" w:hAnsi="宋体" w:cs="宋体"/>
          <w:b/>
          <w:bCs/>
        </w:rPr>
      </w:pPr>
    </w:p>
    <w:p>
      <w:pPr>
        <w:pStyle w:val="2"/>
        <w:rPr>
          <w:sz w:val="32"/>
          <w:szCs w:val="32"/>
        </w:rPr>
      </w:pPr>
      <w:bookmarkStart w:id="28" w:name="_Toc8204"/>
      <w:r>
        <w:rPr>
          <w:rFonts w:hint="eastAsia"/>
          <w:sz w:val="32"/>
          <w:szCs w:val="32"/>
        </w:rPr>
        <w:t>附录B资料收集内容</w:t>
      </w:r>
      <w:bookmarkEnd w:id="28"/>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8"/>
        <w:gridCol w:w="4860"/>
        <w:gridCol w:w="1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8" w:type="dxa"/>
            <w:vAlign w:val="center"/>
          </w:tcPr>
          <w:p>
            <w:pPr>
              <w:jc w:val="center"/>
              <w:rPr>
                <w:rFonts w:ascii="黑体" w:hAnsi="黑体" w:eastAsia="黑体" w:cs="宋体"/>
                <w:sz w:val="24"/>
              </w:rPr>
            </w:pPr>
            <w:r>
              <w:rPr>
                <w:rFonts w:hint="eastAsia" w:ascii="黑体" w:hAnsi="黑体" w:eastAsia="黑体" w:cs="宋体"/>
                <w:sz w:val="24"/>
              </w:rPr>
              <w:t>类别</w:t>
            </w:r>
          </w:p>
        </w:tc>
        <w:tc>
          <w:tcPr>
            <w:tcW w:w="4860" w:type="dxa"/>
            <w:vAlign w:val="center"/>
          </w:tcPr>
          <w:p>
            <w:pPr>
              <w:jc w:val="center"/>
              <w:rPr>
                <w:rFonts w:ascii="黑体" w:hAnsi="黑体" w:eastAsia="黑体" w:cs="宋体"/>
                <w:sz w:val="24"/>
              </w:rPr>
            </w:pPr>
            <w:r>
              <w:rPr>
                <w:rFonts w:hint="eastAsia" w:ascii="黑体" w:hAnsi="黑体" w:eastAsia="黑体" w:cs="宋体"/>
                <w:sz w:val="24"/>
              </w:rPr>
              <w:t>内容</w:t>
            </w:r>
          </w:p>
        </w:tc>
        <w:tc>
          <w:tcPr>
            <w:tcW w:w="1754" w:type="dxa"/>
            <w:vAlign w:val="center"/>
          </w:tcPr>
          <w:p>
            <w:pPr>
              <w:jc w:val="center"/>
              <w:rPr>
                <w:rFonts w:ascii="黑体" w:hAnsi="黑体" w:eastAsia="黑体" w:cs="宋体"/>
                <w:sz w:val="24"/>
              </w:rPr>
            </w:pPr>
            <w:r>
              <w:rPr>
                <w:rFonts w:hint="eastAsia" w:ascii="黑体" w:hAnsi="黑体" w:eastAsia="黑体" w:cs="宋体"/>
                <w:sz w:val="24"/>
              </w:rPr>
              <w:t>收集情况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8" w:type="dxa"/>
            <w:vMerge w:val="restart"/>
            <w:vAlign w:val="center"/>
          </w:tcPr>
          <w:p>
            <w:pPr>
              <w:jc w:val="center"/>
              <w:rPr>
                <w:rFonts w:ascii="黑体" w:hAnsi="黑体" w:eastAsia="黑体" w:cs="宋体"/>
                <w:sz w:val="18"/>
                <w:szCs w:val="18"/>
              </w:rPr>
            </w:pPr>
            <w:r>
              <w:rPr>
                <w:rFonts w:hint="eastAsia" w:ascii="黑体" w:hAnsi="黑体" w:eastAsia="黑体" w:cs="宋体"/>
                <w:sz w:val="18"/>
                <w:szCs w:val="18"/>
              </w:rPr>
              <w:t>图纸及说明书</w:t>
            </w:r>
          </w:p>
        </w:tc>
        <w:tc>
          <w:tcPr>
            <w:tcW w:w="4860" w:type="dxa"/>
            <w:vAlign w:val="center"/>
          </w:tcPr>
          <w:p>
            <w:pPr>
              <w:rPr>
                <w:rFonts w:ascii="宋体" w:cs="宋体"/>
                <w:sz w:val="18"/>
                <w:szCs w:val="18"/>
              </w:rPr>
            </w:pPr>
            <w:r>
              <w:rPr>
                <w:rFonts w:hint="eastAsia" w:ascii="宋体" w:hAnsi="宋体" w:cs="宋体"/>
                <w:sz w:val="18"/>
                <w:szCs w:val="18"/>
              </w:rPr>
              <w:t>建筑总平面图</w:t>
            </w:r>
          </w:p>
        </w:tc>
        <w:tc>
          <w:tcPr>
            <w:tcW w:w="1754" w:type="dxa"/>
            <w:vAlign w:val="center"/>
          </w:tcPr>
          <w:p>
            <w:pPr>
              <w:rPr>
                <w:rFonts w:asci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8" w:type="dxa"/>
            <w:vMerge w:val="continue"/>
            <w:vAlign w:val="center"/>
          </w:tcPr>
          <w:p>
            <w:pPr>
              <w:jc w:val="center"/>
              <w:rPr>
                <w:rFonts w:ascii="黑体" w:hAnsi="黑体" w:eastAsia="黑体" w:cs="宋体"/>
                <w:sz w:val="18"/>
                <w:szCs w:val="18"/>
              </w:rPr>
            </w:pPr>
          </w:p>
        </w:tc>
        <w:tc>
          <w:tcPr>
            <w:tcW w:w="4860" w:type="dxa"/>
            <w:vAlign w:val="center"/>
          </w:tcPr>
          <w:p>
            <w:pPr>
              <w:rPr>
                <w:rFonts w:ascii="宋体" w:cs="宋体"/>
                <w:sz w:val="18"/>
                <w:szCs w:val="18"/>
              </w:rPr>
            </w:pPr>
            <w:r>
              <w:rPr>
                <w:rFonts w:hint="eastAsia" w:ascii="宋体" w:hAnsi="宋体" w:cs="宋体"/>
                <w:sz w:val="18"/>
                <w:szCs w:val="18"/>
              </w:rPr>
              <w:t>单体建筑图及设计文本</w:t>
            </w:r>
          </w:p>
        </w:tc>
        <w:tc>
          <w:tcPr>
            <w:tcW w:w="1754" w:type="dxa"/>
            <w:vAlign w:val="center"/>
          </w:tcPr>
          <w:p>
            <w:pPr>
              <w:rPr>
                <w:rFonts w:asci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8" w:type="dxa"/>
            <w:vMerge w:val="continue"/>
            <w:vAlign w:val="center"/>
          </w:tcPr>
          <w:p>
            <w:pPr>
              <w:jc w:val="center"/>
              <w:rPr>
                <w:rFonts w:ascii="黑体" w:hAnsi="黑体" w:eastAsia="黑体" w:cs="宋体"/>
                <w:sz w:val="18"/>
                <w:szCs w:val="18"/>
              </w:rPr>
            </w:pPr>
          </w:p>
        </w:tc>
        <w:tc>
          <w:tcPr>
            <w:tcW w:w="4860" w:type="dxa"/>
            <w:vAlign w:val="center"/>
          </w:tcPr>
          <w:p>
            <w:pPr>
              <w:rPr>
                <w:rFonts w:ascii="宋体" w:cs="宋体"/>
                <w:sz w:val="18"/>
                <w:szCs w:val="18"/>
              </w:rPr>
            </w:pPr>
            <w:r>
              <w:rPr>
                <w:rFonts w:hint="eastAsia" w:ascii="宋体" w:hAnsi="宋体" w:cs="宋体"/>
                <w:sz w:val="18"/>
                <w:szCs w:val="18"/>
              </w:rPr>
              <w:t>消防设施施工图</w:t>
            </w:r>
          </w:p>
        </w:tc>
        <w:tc>
          <w:tcPr>
            <w:tcW w:w="1754" w:type="dxa"/>
            <w:vAlign w:val="center"/>
          </w:tcPr>
          <w:p>
            <w:pPr>
              <w:rPr>
                <w:rFonts w:asci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8" w:type="dxa"/>
            <w:vAlign w:val="center"/>
          </w:tcPr>
          <w:p>
            <w:pPr>
              <w:jc w:val="center"/>
              <w:rPr>
                <w:rFonts w:ascii="黑体" w:hAnsi="黑体" w:eastAsia="黑体" w:cs="宋体"/>
                <w:sz w:val="18"/>
                <w:szCs w:val="18"/>
              </w:rPr>
            </w:pPr>
            <w:r>
              <w:rPr>
                <w:rFonts w:hint="eastAsia" w:ascii="黑体" w:hAnsi="黑体" w:eastAsia="黑体" w:cs="宋体"/>
                <w:sz w:val="18"/>
                <w:szCs w:val="18"/>
              </w:rPr>
              <w:t>自然地理</w:t>
            </w:r>
          </w:p>
        </w:tc>
        <w:tc>
          <w:tcPr>
            <w:tcW w:w="4860" w:type="dxa"/>
            <w:vAlign w:val="center"/>
          </w:tcPr>
          <w:p>
            <w:pPr>
              <w:rPr>
                <w:rFonts w:ascii="宋体" w:cs="宋体"/>
                <w:sz w:val="18"/>
                <w:szCs w:val="18"/>
              </w:rPr>
            </w:pPr>
            <w:r>
              <w:rPr>
                <w:rFonts w:hint="eastAsia" w:ascii="宋体" w:hAnsi="宋体" w:cs="宋体"/>
                <w:sz w:val="18"/>
                <w:szCs w:val="18"/>
              </w:rPr>
              <w:t>位置、地形、水文</w:t>
            </w:r>
            <w:r>
              <w:rPr>
                <w:rFonts w:ascii="宋体" w:hAnsi="宋体" w:cs="宋体"/>
                <w:sz w:val="18"/>
                <w:szCs w:val="18"/>
              </w:rPr>
              <w:t>(</w:t>
            </w:r>
            <w:r>
              <w:rPr>
                <w:rFonts w:hint="eastAsia" w:ascii="宋体" w:hAnsi="宋体" w:cs="宋体"/>
                <w:sz w:val="18"/>
                <w:szCs w:val="18"/>
              </w:rPr>
              <w:t>消防水源</w:t>
            </w:r>
            <w:r>
              <w:rPr>
                <w:rFonts w:ascii="宋体" w:hAnsi="宋体" w:cs="宋体"/>
                <w:sz w:val="18"/>
                <w:szCs w:val="18"/>
              </w:rPr>
              <w:t>)</w:t>
            </w:r>
            <w:r>
              <w:rPr>
                <w:rFonts w:hint="eastAsia" w:ascii="宋体" w:hAnsi="宋体" w:cs="宋体"/>
                <w:sz w:val="18"/>
                <w:szCs w:val="18"/>
              </w:rPr>
              <w:t>、气象等</w:t>
            </w:r>
          </w:p>
        </w:tc>
        <w:tc>
          <w:tcPr>
            <w:tcW w:w="1754" w:type="dxa"/>
            <w:vAlign w:val="center"/>
          </w:tcPr>
          <w:p>
            <w:pPr>
              <w:rPr>
                <w:rFonts w:asci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8" w:type="dxa"/>
            <w:vMerge w:val="restart"/>
            <w:vAlign w:val="center"/>
          </w:tcPr>
          <w:p>
            <w:pPr>
              <w:jc w:val="center"/>
              <w:rPr>
                <w:rFonts w:ascii="黑体" w:hAnsi="黑体" w:eastAsia="黑体" w:cs="宋体"/>
                <w:sz w:val="18"/>
                <w:szCs w:val="18"/>
              </w:rPr>
            </w:pPr>
            <w:r>
              <w:rPr>
                <w:rFonts w:hint="eastAsia" w:ascii="黑体" w:hAnsi="黑体" w:eastAsia="黑体" w:cs="宋体"/>
                <w:sz w:val="18"/>
                <w:szCs w:val="18"/>
              </w:rPr>
              <w:t>社会经济</w:t>
            </w:r>
          </w:p>
        </w:tc>
        <w:tc>
          <w:tcPr>
            <w:tcW w:w="4860" w:type="dxa"/>
            <w:vAlign w:val="center"/>
          </w:tcPr>
          <w:p>
            <w:pPr>
              <w:rPr>
                <w:rFonts w:ascii="宋体" w:cs="宋体"/>
                <w:sz w:val="18"/>
                <w:szCs w:val="18"/>
              </w:rPr>
            </w:pPr>
            <w:r>
              <w:rPr>
                <w:rFonts w:hint="eastAsia" w:ascii="宋体" w:hAnsi="宋体" w:cs="宋体"/>
                <w:sz w:val="18"/>
                <w:szCs w:val="18"/>
              </w:rPr>
              <w:t>区域定位、区域内人口、经济发展水平</w:t>
            </w:r>
          </w:p>
        </w:tc>
        <w:tc>
          <w:tcPr>
            <w:tcW w:w="1754" w:type="dxa"/>
            <w:vAlign w:val="center"/>
          </w:tcPr>
          <w:p>
            <w:pPr>
              <w:rPr>
                <w:rFonts w:asci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8" w:type="dxa"/>
            <w:vMerge w:val="continue"/>
            <w:vAlign w:val="center"/>
          </w:tcPr>
          <w:p>
            <w:pPr>
              <w:jc w:val="center"/>
              <w:rPr>
                <w:rFonts w:ascii="黑体" w:hAnsi="黑体" w:eastAsia="黑体" w:cs="宋体"/>
                <w:sz w:val="18"/>
                <w:szCs w:val="18"/>
              </w:rPr>
            </w:pPr>
          </w:p>
        </w:tc>
        <w:tc>
          <w:tcPr>
            <w:tcW w:w="4860" w:type="dxa"/>
            <w:vAlign w:val="center"/>
          </w:tcPr>
          <w:p>
            <w:pPr>
              <w:rPr>
                <w:rFonts w:ascii="宋体" w:cs="宋体"/>
                <w:sz w:val="18"/>
                <w:szCs w:val="18"/>
              </w:rPr>
            </w:pPr>
            <w:r>
              <w:rPr>
                <w:rFonts w:hint="eastAsia" w:ascii="宋体" w:hAnsi="宋体" w:cs="宋体"/>
                <w:sz w:val="18"/>
                <w:szCs w:val="18"/>
              </w:rPr>
              <w:t>区域内易燃易爆物的种类、数量、位置</w:t>
            </w:r>
          </w:p>
        </w:tc>
        <w:tc>
          <w:tcPr>
            <w:tcW w:w="1754" w:type="dxa"/>
            <w:vAlign w:val="center"/>
          </w:tcPr>
          <w:p>
            <w:pPr>
              <w:rPr>
                <w:rFonts w:asci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8" w:type="dxa"/>
            <w:vMerge w:val="restart"/>
            <w:vAlign w:val="center"/>
          </w:tcPr>
          <w:p>
            <w:pPr>
              <w:jc w:val="center"/>
              <w:rPr>
                <w:rFonts w:ascii="黑体" w:hAnsi="黑体" w:eastAsia="黑体" w:cs="宋体"/>
                <w:sz w:val="18"/>
                <w:szCs w:val="18"/>
              </w:rPr>
            </w:pPr>
            <w:r>
              <w:rPr>
                <w:rFonts w:hint="eastAsia" w:ascii="黑体" w:hAnsi="黑体" w:eastAsia="黑体" w:cs="宋体"/>
                <w:sz w:val="18"/>
                <w:szCs w:val="18"/>
              </w:rPr>
              <w:t>火灾历史数据</w:t>
            </w:r>
          </w:p>
        </w:tc>
        <w:tc>
          <w:tcPr>
            <w:tcW w:w="4860" w:type="dxa"/>
            <w:vAlign w:val="center"/>
          </w:tcPr>
          <w:p>
            <w:pPr>
              <w:rPr>
                <w:rFonts w:ascii="宋体" w:cs="宋体"/>
                <w:sz w:val="18"/>
                <w:szCs w:val="18"/>
              </w:rPr>
            </w:pPr>
            <w:r>
              <w:rPr>
                <w:rFonts w:hint="eastAsia" w:ascii="宋体" w:hAnsi="宋体" w:cs="宋体"/>
                <w:sz w:val="18"/>
                <w:szCs w:val="18"/>
              </w:rPr>
              <w:t>所在行政区域近五年的火灾数量</w:t>
            </w:r>
            <w:r>
              <w:rPr>
                <w:rFonts w:ascii="宋体" w:hAnsi="宋体" w:cs="宋体"/>
                <w:sz w:val="18"/>
                <w:szCs w:val="18"/>
              </w:rPr>
              <w:t xml:space="preserve"> </w:t>
            </w:r>
          </w:p>
        </w:tc>
        <w:tc>
          <w:tcPr>
            <w:tcW w:w="1754" w:type="dxa"/>
            <w:vAlign w:val="center"/>
          </w:tcPr>
          <w:p>
            <w:pPr>
              <w:rPr>
                <w:rFonts w:asci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8" w:type="dxa"/>
            <w:vMerge w:val="continue"/>
            <w:vAlign w:val="center"/>
          </w:tcPr>
          <w:p>
            <w:pPr>
              <w:jc w:val="center"/>
              <w:rPr>
                <w:rFonts w:ascii="黑体" w:hAnsi="黑体" w:eastAsia="黑体" w:cs="宋体"/>
                <w:sz w:val="18"/>
                <w:szCs w:val="18"/>
              </w:rPr>
            </w:pPr>
          </w:p>
        </w:tc>
        <w:tc>
          <w:tcPr>
            <w:tcW w:w="4860" w:type="dxa"/>
            <w:vAlign w:val="center"/>
          </w:tcPr>
          <w:p>
            <w:pPr>
              <w:rPr>
                <w:rFonts w:ascii="宋体" w:cs="宋体"/>
                <w:sz w:val="18"/>
                <w:szCs w:val="18"/>
              </w:rPr>
            </w:pPr>
            <w:r>
              <w:rPr>
                <w:rFonts w:hint="eastAsia" w:ascii="宋体" w:hAnsi="宋体" w:cs="宋体"/>
                <w:sz w:val="18"/>
                <w:szCs w:val="18"/>
              </w:rPr>
              <w:t>起火原因及其分析</w:t>
            </w:r>
          </w:p>
        </w:tc>
        <w:tc>
          <w:tcPr>
            <w:tcW w:w="1754" w:type="dxa"/>
            <w:vAlign w:val="center"/>
          </w:tcPr>
          <w:p>
            <w:pPr>
              <w:rPr>
                <w:rFonts w:asci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8" w:type="dxa"/>
            <w:vMerge w:val="restart"/>
            <w:vAlign w:val="center"/>
          </w:tcPr>
          <w:p>
            <w:pPr>
              <w:jc w:val="center"/>
              <w:rPr>
                <w:rFonts w:ascii="黑体" w:hAnsi="黑体" w:eastAsia="黑体" w:cs="宋体"/>
                <w:sz w:val="18"/>
                <w:szCs w:val="18"/>
              </w:rPr>
            </w:pPr>
            <w:r>
              <w:rPr>
                <w:rFonts w:hint="eastAsia" w:ascii="黑体" w:hAnsi="黑体" w:eastAsia="黑体" w:cs="宋体"/>
                <w:sz w:val="18"/>
                <w:szCs w:val="18"/>
              </w:rPr>
              <w:t>消防管理</w:t>
            </w:r>
          </w:p>
        </w:tc>
        <w:tc>
          <w:tcPr>
            <w:tcW w:w="4860" w:type="dxa"/>
            <w:vAlign w:val="center"/>
          </w:tcPr>
          <w:p>
            <w:pPr>
              <w:rPr>
                <w:rFonts w:ascii="宋体" w:cs="宋体"/>
                <w:sz w:val="18"/>
                <w:szCs w:val="18"/>
              </w:rPr>
            </w:pPr>
            <w:r>
              <w:rPr>
                <w:rFonts w:hint="eastAsia" w:ascii="宋体" w:hAnsi="宋体" w:cs="宋体"/>
                <w:sz w:val="18"/>
                <w:szCs w:val="18"/>
              </w:rPr>
              <w:t>消防安全管理责任制度的建立与执行记录台账</w:t>
            </w:r>
          </w:p>
        </w:tc>
        <w:tc>
          <w:tcPr>
            <w:tcW w:w="1754" w:type="dxa"/>
            <w:vAlign w:val="center"/>
          </w:tcPr>
          <w:p>
            <w:pPr>
              <w:rPr>
                <w:rFonts w:asci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8" w:type="dxa"/>
            <w:vMerge w:val="continue"/>
            <w:vAlign w:val="center"/>
          </w:tcPr>
          <w:p>
            <w:pPr>
              <w:jc w:val="center"/>
              <w:rPr>
                <w:rFonts w:ascii="黑体" w:hAnsi="黑体" w:eastAsia="黑体" w:cs="宋体"/>
                <w:sz w:val="18"/>
                <w:szCs w:val="18"/>
              </w:rPr>
            </w:pPr>
          </w:p>
        </w:tc>
        <w:tc>
          <w:tcPr>
            <w:tcW w:w="4860" w:type="dxa"/>
            <w:vAlign w:val="center"/>
          </w:tcPr>
          <w:p>
            <w:pPr>
              <w:rPr>
                <w:rFonts w:ascii="宋体" w:cs="宋体"/>
                <w:sz w:val="18"/>
                <w:szCs w:val="18"/>
              </w:rPr>
            </w:pPr>
            <w:r>
              <w:rPr>
                <w:rFonts w:hint="eastAsia" w:ascii="宋体" w:hAnsi="宋体" w:cs="宋体"/>
                <w:sz w:val="18"/>
                <w:szCs w:val="18"/>
              </w:rPr>
              <w:t>消防设施操作人员的持证上岗情况，消防组织的基本消防安全培训工作记录台账情况</w:t>
            </w:r>
          </w:p>
        </w:tc>
        <w:tc>
          <w:tcPr>
            <w:tcW w:w="1754" w:type="dxa"/>
            <w:vAlign w:val="center"/>
          </w:tcPr>
          <w:p>
            <w:pPr>
              <w:rPr>
                <w:rFonts w:asci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8" w:type="dxa"/>
            <w:vMerge w:val="continue"/>
            <w:vAlign w:val="center"/>
          </w:tcPr>
          <w:p>
            <w:pPr>
              <w:jc w:val="center"/>
              <w:rPr>
                <w:rFonts w:ascii="黑体" w:hAnsi="黑体" w:eastAsia="黑体" w:cs="宋体"/>
                <w:sz w:val="18"/>
                <w:szCs w:val="18"/>
              </w:rPr>
            </w:pPr>
          </w:p>
        </w:tc>
        <w:tc>
          <w:tcPr>
            <w:tcW w:w="4860" w:type="dxa"/>
            <w:vAlign w:val="center"/>
          </w:tcPr>
          <w:p>
            <w:pPr>
              <w:rPr>
                <w:rFonts w:ascii="宋体" w:cs="宋体"/>
                <w:sz w:val="18"/>
                <w:szCs w:val="18"/>
              </w:rPr>
            </w:pPr>
            <w:r>
              <w:rPr>
                <w:rFonts w:hint="eastAsia" w:ascii="宋体" w:hAnsi="宋体" w:cs="宋体"/>
                <w:sz w:val="18"/>
                <w:szCs w:val="18"/>
              </w:rPr>
              <w:t>消防设施、防雷保护装置是否有检测报告、电气防火安全是查有评估报告</w:t>
            </w:r>
          </w:p>
        </w:tc>
        <w:tc>
          <w:tcPr>
            <w:tcW w:w="1754" w:type="dxa"/>
            <w:vAlign w:val="center"/>
          </w:tcPr>
          <w:p>
            <w:pPr>
              <w:rPr>
                <w:rFonts w:asci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8" w:type="dxa"/>
            <w:vAlign w:val="center"/>
          </w:tcPr>
          <w:p>
            <w:pPr>
              <w:jc w:val="center"/>
              <w:rPr>
                <w:rFonts w:ascii="黑体" w:hAnsi="黑体" w:eastAsia="黑体" w:cs="宋体"/>
                <w:sz w:val="18"/>
                <w:szCs w:val="18"/>
              </w:rPr>
            </w:pPr>
            <w:r>
              <w:rPr>
                <w:rFonts w:hint="eastAsia" w:ascii="黑体" w:hAnsi="黑体" w:eastAsia="黑体" w:cs="宋体"/>
                <w:sz w:val="18"/>
                <w:szCs w:val="18"/>
              </w:rPr>
              <w:t>利用情况</w:t>
            </w:r>
          </w:p>
        </w:tc>
        <w:tc>
          <w:tcPr>
            <w:tcW w:w="4860" w:type="dxa"/>
            <w:vAlign w:val="center"/>
          </w:tcPr>
          <w:p>
            <w:pPr>
              <w:rPr>
                <w:rFonts w:ascii="宋体" w:cs="宋体"/>
                <w:sz w:val="18"/>
                <w:szCs w:val="18"/>
              </w:rPr>
            </w:pPr>
            <w:r>
              <w:rPr>
                <w:rFonts w:hint="eastAsia" w:ascii="宋体" w:hAnsi="宋体" w:cs="宋体"/>
                <w:sz w:val="18"/>
                <w:szCs w:val="18"/>
              </w:rPr>
              <w:t>展览、餐饮、商店、住宿和休闲娱乐等场所的数量、分布及客流量</w:t>
            </w:r>
          </w:p>
        </w:tc>
        <w:tc>
          <w:tcPr>
            <w:tcW w:w="1754" w:type="dxa"/>
            <w:vAlign w:val="center"/>
          </w:tcPr>
          <w:p>
            <w:pPr>
              <w:rPr>
                <w:rFonts w:ascii="宋体" w:cs="宋体"/>
                <w:sz w:val="18"/>
                <w:szCs w:val="18"/>
              </w:rPr>
            </w:pPr>
          </w:p>
        </w:tc>
      </w:tr>
    </w:tbl>
    <w:p>
      <w:pPr>
        <w:spacing w:line="360" w:lineRule="auto"/>
      </w:pPr>
    </w:p>
    <w:p>
      <w:pPr>
        <w:rPr>
          <w:b/>
          <w:sz w:val="28"/>
          <w:szCs w:val="28"/>
        </w:rPr>
      </w:pPr>
      <w:r>
        <w:rPr>
          <w:b/>
          <w:sz w:val="28"/>
          <w:szCs w:val="28"/>
        </w:rPr>
        <w:br w:type="page"/>
      </w:r>
    </w:p>
    <w:p>
      <w:pPr>
        <w:pStyle w:val="2"/>
        <w:rPr>
          <w:sz w:val="32"/>
          <w:szCs w:val="32"/>
        </w:rPr>
      </w:pPr>
      <w:bookmarkStart w:id="29" w:name="_Toc28767"/>
      <w:r>
        <w:rPr>
          <w:sz w:val="32"/>
          <w:szCs w:val="32"/>
        </w:rPr>
        <w:t>附录C 防火隔离带宽度计算</w:t>
      </w:r>
      <w:bookmarkEnd w:id="29"/>
    </w:p>
    <w:p>
      <w:pPr>
        <w:ind w:firstLine="420" w:firstLineChars="175"/>
        <w:rPr>
          <w:rFonts w:ascii="宋体" w:hAnsi="宋体" w:cs="宋体"/>
          <w:bCs/>
          <w:sz w:val="24"/>
        </w:rPr>
      </w:pPr>
    </w:p>
    <w:p>
      <w:pPr>
        <w:spacing w:line="360" w:lineRule="auto"/>
        <w:ind w:firstLine="420" w:firstLineChars="175"/>
        <w:rPr>
          <w:rFonts w:ascii="宋体" w:hAnsi="宋体" w:cs="宋体"/>
          <w:bCs/>
          <w:sz w:val="24"/>
        </w:rPr>
      </w:pPr>
      <w:r>
        <w:rPr>
          <w:rFonts w:hint="eastAsia" w:ascii="宋体" w:hAnsi="宋体" w:cs="宋体"/>
          <w:bCs/>
          <w:sz w:val="24"/>
        </w:rPr>
        <w:t>丽江古城建筑间火灾蔓延的主要机制为热辐射，起火建筑对相邻建筑的热辐射按如下公式确定：</w:t>
      </w:r>
    </w:p>
    <w:p>
      <w:pPr>
        <w:spacing w:line="360" w:lineRule="auto"/>
        <w:jc w:val="right"/>
        <w:rPr>
          <w:rFonts w:ascii="宋体" w:hAnsi="宋体" w:cs="宋体"/>
          <w:bCs/>
          <w:sz w:val="24"/>
        </w:rPr>
      </w:pPr>
      <w:r>
        <w:rPr>
          <w:rFonts w:hint="eastAsia" w:ascii="宋体" w:hAnsi="宋体" w:cs="宋体"/>
          <w:bCs/>
          <w:position w:val="-12"/>
          <w:sz w:val="24"/>
        </w:rPr>
        <w:object>
          <v:shape id="_x0000_i1025" o:spt="75" type="#_x0000_t75" style="height:18pt;width:44pt;" o:ole="t" filled="f" o:preferrelative="t" stroked="f" coordsize="21600,21600">
            <v:path/>
            <v:fill on="f" focussize="0,0"/>
            <v:stroke on="f" joinstyle="miter"/>
            <v:imagedata r:id="rId6" o:title=""/>
            <o:lock v:ext="edit" aspectratio="t"/>
            <w10:wrap type="none"/>
            <w10:anchorlock/>
          </v:shape>
          <o:OLEObject Type="Embed" ProgID="Equation.3" ShapeID="_x0000_i1025" DrawAspect="Content" ObjectID="_1468075725" r:id="rId5">
            <o:LockedField>false</o:LockedField>
          </o:OLEObject>
        </w:object>
      </w:r>
      <w:r>
        <w:rPr>
          <w:rFonts w:hint="eastAsia" w:ascii="宋体" w:hAnsi="宋体" w:cs="宋体"/>
          <w:bCs/>
          <w:sz w:val="24"/>
        </w:rPr>
        <w:t xml:space="preserve">                           (1)</w:t>
      </w:r>
    </w:p>
    <w:p>
      <w:pPr>
        <w:spacing w:line="360" w:lineRule="auto"/>
        <w:rPr>
          <w:rFonts w:ascii="宋体" w:hAnsi="宋体" w:cs="宋体"/>
          <w:bCs/>
          <w:sz w:val="24"/>
        </w:rPr>
      </w:pPr>
      <w:r>
        <w:rPr>
          <w:bCs/>
          <w:sz w:val="24"/>
        </w:rPr>
        <w:t>当计算得到的</w:t>
      </w:r>
      <w:r>
        <w:rPr>
          <w:rFonts w:hint="eastAsia"/>
          <w:bCs/>
          <w:sz w:val="24"/>
        </w:rPr>
        <w:t>热辐射</w:t>
      </w:r>
      <w:r>
        <w:rPr>
          <w:rFonts w:hint="eastAsia"/>
          <w:bCs/>
          <w:i/>
          <w:iCs/>
          <w:sz w:val="24"/>
        </w:rPr>
        <w:t>q</w:t>
      </w:r>
      <w:r>
        <w:rPr>
          <w:bCs/>
          <w:sz w:val="24"/>
        </w:rPr>
        <w:t>小于12.5kW/m</w:t>
      </w:r>
      <w:r>
        <w:rPr>
          <w:bCs/>
          <w:sz w:val="24"/>
          <w:vertAlign w:val="superscript"/>
        </w:rPr>
        <w:t>2</w:t>
      </w:r>
      <w:r>
        <w:rPr>
          <w:bCs/>
          <w:sz w:val="24"/>
        </w:rPr>
        <w:t>时，防火隔离带宽度满足要求</w:t>
      </w:r>
      <w:r>
        <w:rPr>
          <w:rFonts w:hint="eastAsia"/>
          <w:bCs/>
          <w:sz w:val="24"/>
        </w:rPr>
        <w:t>。</w:t>
      </w:r>
      <w:r>
        <w:rPr>
          <w:bCs/>
          <w:sz w:val="24"/>
        </w:rPr>
        <w:t>式中，</w:t>
      </w:r>
      <w:r>
        <w:rPr>
          <w:bCs/>
          <w:i/>
          <w:iCs/>
          <w:sz w:val="24"/>
        </w:rPr>
        <w:t>ɑ</w:t>
      </w:r>
      <w:r>
        <w:rPr>
          <w:bCs/>
          <w:sz w:val="24"/>
        </w:rPr>
        <w:t>为开洞率，</w:t>
      </w:r>
      <w:r>
        <w:rPr>
          <w:bCs/>
          <w:i/>
          <w:iCs/>
          <w:sz w:val="24"/>
        </w:rPr>
        <w:t>φ</w:t>
      </w:r>
      <w:r>
        <w:rPr>
          <w:rFonts w:hint="eastAsia" w:ascii="宋体" w:hAnsi="宋体" w:cs="宋体"/>
          <w:bCs/>
          <w:sz w:val="24"/>
        </w:rPr>
        <w:t>为辐射角系数，</w:t>
      </w:r>
      <w:r>
        <w:rPr>
          <w:bCs/>
          <w:i/>
          <w:iCs/>
          <w:sz w:val="24"/>
        </w:rPr>
        <w:t>I</w:t>
      </w:r>
      <w:r>
        <w:rPr>
          <w:bCs/>
          <w:sz w:val="24"/>
          <w:vertAlign w:val="subscript"/>
        </w:rPr>
        <w:t>0</w:t>
      </w:r>
      <w:r>
        <w:rPr>
          <w:rFonts w:hint="eastAsia" w:ascii="宋体" w:hAnsi="宋体" w:cs="宋体"/>
          <w:bCs/>
          <w:sz w:val="24"/>
        </w:rPr>
        <w:t>为辐射源强度(</w:t>
      </w:r>
      <w:r>
        <w:rPr>
          <w:bCs/>
          <w:sz w:val="24"/>
        </w:rPr>
        <w:t>kw/m</w:t>
      </w:r>
      <w:r>
        <w:rPr>
          <w:bCs/>
          <w:sz w:val="24"/>
          <w:vertAlign w:val="superscript"/>
        </w:rPr>
        <w:t>2</w:t>
      </w:r>
      <w:r>
        <w:rPr>
          <w:rFonts w:hint="eastAsia" w:ascii="宋体" w:hAnsi="宋体" w:cs="宋体"/>
          <w:bCs/>
          <w:sz w:val="24"/>
        </w:rPr>
        <w:t>)，分别按如下方式取值：</w:t>
      </w:r>
    </w:p>
    <w:p>
      <w:pPr>
        <w:numPr>
          <w:ilvl w:val="0"/>
          <w:numId w:val="2"/>
        </w:numPr>
        <w:spacing w:line="360" w:lineRule="auto"/>
        <w:rPr>
          <w:bCs/>
          <w:sz w:val="24"/>
        </w:rPr>
      </w:pPr>
      <w:r>
        <w:rPr>
          <w:b/>
          <w:sz w:val="24"/>
        </w:rPr>
        <w:t>开洞率</w:t>
      </w:r>
      <w:r>
        <w:rPr>
          <w:b/>
          <w:i/>
          <w:iCs/>
          <w:sz w:val="24"/>
        </w:rPr>
        <w:t>ɑ</w:t>
      </w:r>
      <w:r>
        <w:rPr>
          <w:b/>
          <w:sz w:val="24"/>
        </w:rPr>
        <w:t>为洞口面积除以外墙面面积</w:t>
      </w:r>
      <w:r>
        <w:rPr>
          <w:rFonts w:hint="eastAsia"/>
          <w:b/>
          <w:sz w:val="24"/>
        </w:rPr>
        <w:t>。</w:t>
      </w:r>
      <w:r>
        <w:rPr>
          <w:rFonts w:hint="eastAsia"/>
          <w:bCs/>
          <w:sz w:val="24"/>
        </w:rPr>
        <w:t>计算开洞率时，洞口面积</w:t>
      </w:r>
      <w:r>
        <w:rPr>
          <w:bCs/>
          <w:sz w:val="24"/>
        </w:rPr>
        <w:t>按如下方式确定</w:t>
      </w:r>
      <w:r>
        <w:rPr>
          <w:rFonts w:hint="eastAsia"/>
          <w:bCs/>
          <w:sz w:val="24"/>
        </w:rPr>
        <w:t>*：</w:t>
      </w:r>
    </w:p>
    <w:p>
      <w:pPr>
        <w:numPr>
          <w:ilvl w:val="0"/>
          <w:numId w:val="3"/>
        </w:numPr>
        <w:spacing w:line="360" w:lineRule="auto"/>
        <w:rPr>
          <w:bCs/>
          <w:sz w:val="24"/>
        </w:rPr>
      </w:pPr>
      <w:r>
        <w:rPr>
          <w:bCs/>
          <w:sz w:val="24"/>
        </w:rPr>
        <w:t>当外墙</w:t>
      </w:r>
      <w:r>
        <w:rPr>
          <w:rFonts w:hint="eastAsia"/>
          <w:bCs/>
          <w:sz w:val="24"/>
        </w:rPr>
        <w:t>使用</w:t>
      </w:r>
      <w:r>
        <w:rPr>
          <w:bCs/>
          <w:sz w:val="24"/>
        </w:rPr>
        <w:t>耐火极限超过1h的不燃烧体</w:t>
      </w:r>
      <w:r>
        <w:rPr>
          <w:rFonts w:hint="eastAsia"/>
          <w:bCs/>
          <w:sz w:val="24"/>
        </w:rPr>
        <w:t>构件分隔</w:t>
      </w:r>
      <w:r>
        <w:rPr>
          <w:bCs/>
          <w:sz w:val="24"/>
        </w:rPr>
        <w:t>时</w:t>
      </w:r>
      <w:r>
        <w:rPr>
          <w:rFonts w:hint="eastAsia"/>
          <w:bCs/>
          <w:sz w:val="24"/>
          <w:vertAlign w:val="superscript"/>
        </w:rPr>
        <w:t>*</w:t>
      </w:r>
      <w:r>
        <w:rPr>
          <w:bCs/>
          <w:sz w:val="24"/>
        </w:rPr>
        <w:t>，</w:t>
      </w:r>
      <w:r>
        <w:rPr>
          <w:rFonts w:hint="eastAsia"/>
          <w:bCs/>
          <w:sz w:val="24"/>
        </w:rPr>
        <w:t>洞口面积为门窗洞口面积</w:t>
      </w:r>
      <w:r>
        <w:rPr>
          <w:bCs/>
          <w:sz w:val="24"/>
        </w:rPr>
        <w:t>；</w:t>
      </w:r>
    </w:p>
    <w:p>
      <w:pPr>
        <w:numPr>
          <w:ilvl w:val="0"/>
          <w:numId w:val="3"/>
        </w:numPr>
        <w:spacing w:line="360" w:lineRule="auto"/>
        <w:rPr>
          <w:bCs/>
          <w:sz w:val="24"/>
        </w:rPr>
      </w:pPr>
      <w:r>
        <w:rPr>
          <w:bCs/>
          <w:sz w:val="24"/>
        </w:rPr>
        <w:t>当外墙使用可燃材料</w:t>
      </w:r>
      <w:r>
        <w:rPr>
          <w:rFonts w:hint="eastAsia"/>
          <w:bCs/>
          <w:sz w:val="24"/>
        </w:rPr>
        <w:t>分隔</w:t>
      </w:r>
      <w:r>
        <w:rPr>
          <w:bCs/>
          <w:sz w:val="24"/>
        </w:rPr>
        <w:t>，所使用的分隔构件耐火极限小于20min时，该</w:t>
      </w:r>
      <w:r>
        <w:rPr>
          <w:rFonts w:hint="eastAsia"/>
          <w:bCs/>
          <w:sz w:val="24"/>
        </w:rPr>
        <w:t>分隔</w:t>
      </w:r>
      <w:r>
        <w:rPr>
          <w:bCs/>
          <w:sz w:val="24"/>
        </w:rPr>
        <w:t>区域视为洞口，</w:t>
      </w:r>
      <w:r>
        <w:rPr>
          <w:rFonts w:hint="eastAsia"/>
          <w:bCs/>
          <w:sz w:val="24"/>
        </w:rPr>
        <w:t>洞口面积为门窗洞口面积加分隔区域面积；</w:t>
      </w:r>
    </w:p>
    <w:p>
      <w:pPr>
        <w:numPr>
          <w:ilvl w:val="0"/>
          <w:numId w:val="3"/>
        </w:numPr>
        <w:spacing w:line="360" w:lineRule="auto"/>
        <w:rPr>
          <w:bCs/>
          <w:sz w:val="24"/>
        </w:rPr>
      </w:pPr>
      <w:r>
        <w:rPr>
          <w:bCs/>
          <w:sz w:val="24"/>
        </w:rPr>
        <w:t>当外墙上使用</w:t>
      </w:r>
      <w:r>
        <w:rPr>
          <w:rFonts w:hint="eastAsia"/>
          <w:bCs/>
          <w:sz w:val="24"/>
        </w:rPr>
        <w:t>难</w:t>
      </w:r>
      <w:r>
        <w:rPr>
          <w:bCs/>
          <w:sz w:val="24"/>
        </w:rPr>
        <w:t>燃材料分隔</w:t>
      </w:r>
      <w:r>
        <w:rPr>
          <w:rFonts w:hint="eastAsia"/>
          <w:bCs/>
          <w:sz w:val="24"/>
        </w:rPr>
        <w:t>，所使用的分隔构件耐火极限大于20min但不超过1h时，该分隔区域视为具有75%的开洞率，洞口面积为门窗洞口面积加75%的分隔区域面积。</w:t>
      </w:r>
    </w:p>
    <w:p>
      <w:pPr>
        <w:spacing w:line="360" w:lineRule="auto"/>
        <w:rPr>
          <w:bCs/>
          <w:szCs w:val="21"/>
        </w:rPr>
      </w:pPr>
      <w:r>
        <w:rPr>
          <w:rFonts w:hint="eastAsia"/>
          <w:bCs/>
          <w:szCs w:val="21"/>
        </w:rPr>
        <w:t>*备注：1.此条文参照了NFPA80的计算方法；2.对于丽江古城，常见的耐火极限超过1h的不燃烧墙体形式包括：砖墙、土坯墙、夯土墙和轻钢龙骨石膏板墙，常见的耐火极限小于20min的可燃墙体主要是指各种未经阻燃处理的木板墙，传统的木板墙经阻燃处理或涂防火涂料以后，基本能满足条件C所述情况。</w:t>
      </w:r>
    </w:p>
    <w:p>
      <w:pPr>
        <w:numPr>
          <w:ilvl w:val="0"/>
          <w:numId w:val="2"/>
        </w:numPr>
        <w:spacing w:line="360" w:lineRule="auto"/>
        <w:rPr>
          <w:b/>
          <w:sz w:val="24"/>
        </w:rPr>
      </w:pPr>
      <w:r>
        <w:rPr>
          <w:rFonts w:hint="eastAsia"/>
          <w:b/>
          <w:sz w:val="24"/>
        </w:rPr>
        <w:t>辐射角系数</w:t>
      </w:r>
      <w:r>
        <w:rPr>
          <w:bCs/>
          <w:i/>
          <w:iCs/>
          <w:sz w:val="24"/>
        </w:rPr>
        <w:t>φ</w:t>
      </w:r>
      <w:r>
        <w:rPr>
          <w:rFonts w:hint="eastAsia"/>
          <w:b/>
          <w:sz w:val="24"/>
        </w:rPr>
        <w:t>与外墙高度、宽度和距离有关按附表C.1取值</w:t>
      </w:r>
    </w:p>
    <w:p>
      <w:pPr>
        <w:spacing w:line="360" w:lineRule="auto"/>
        <w:ind w:firstLine="2880" w:firstLineChars="1200"/>
        <w:rPr>
          <w:bCs/>
          <w:sz w:val="24"/>
        </w:rPr>
      </w:pPr>
      <w:r>
        <w:rPr>
          <w:bCs/>
          <w:sz w:val="24"/>
        </w:rPr>
        <w:t>附表C</w:t>
      </w:r>
      <w:r>
        <w:rPr>
          <w:rFonts w:hint="eastAsia"/>
          <w:bCs/>
          <w:sz w:val="24"/>
        </w:rPr>
        <w:t>.1</w:t>
      </w:r>
      <w:r>
        <w:rPr>
          <w:bCs/>
          <w:sz w:val="24"/>
        </w:rPr>
        <w:t>辐射角系数</w:t>
      </w:r>
      <w:r>
        <w:rPr>
          <w:bCs/>
          <w:i/>
          <w:iCs/>
          <w:sz w:val="24"/>
        </w:rPr>
        <w:t>φ</w:t>
      </w:r>
    </w:p>
    <w:tbl>
      <w:tblPr>
        <w:tblStyle w:val="1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0"/>
        <w:gridCol w:w="500"/>
        <w:gridCol w:w="500"/>
        <w:gridCol w:w="501"/>
        <w:gridCol w:w="501"/>
        <w:gridCol w:w="501"/>
        <w:gridCol w:w="501"/>
        <w:gridCol w:w="501"/>
        <w:gridCol w:w="501"/>
        <w:gridCol w:w="501"/>
        <w:gridCol w:w="501"/>
        <w:gridCol w:w="501"/>
        <w:gridCol w:w="501"/>
        <w:gridCol w:w="501"/>
        <w:gridCol w:w="501"/>
        <w:gridCol w:w="501"/>
        <w:gridCol w:w="5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5000" w:type="pct"/>
            <w:gridSpan w:val="17"/>
          </w:tcPr>
          <w:p>
            <w:pPr>
              <w:widowControl/>
              <w:jc w:val="center"/>
              <w:textAlignment w:val="center"/>
              <w:rPr>
                <w:b/>
                <w:bCs/>
                <w:spacing w:val="-17"/>
                <w:kern w:val="15"/>
                <w:sz w:val="16"/>
                <w:szCs w:val="16"/>
                <w:lang w:bidi="ar"/>
              </w:rPr>
            </w:pPr>
            <w:r>
              <w:rPr>
                <w:sz w:val="24"/>
              </w:rPr>
              <mc:AlternateContent>
                <mc:Choice Requires="wps">
                  <w:drawing>
                    <wp:anchor distT="0" distB="0" distL="114300" distR="114300" simplePos="0" relativeHeight="251659264" behindDoc="1" locked="0" layoutInCell="1" allowOverlap="1">
                      <wp:simplePos x="0" y="0"/>
                      <wp:positionH relativeFrom="column">
                        <wp:posOffset>3175</wp:posOffset>
                      </wp:positionH>
                      <wp:positionV relativeFrom="paragraph">
                        <wp:posOffset>217170</wp:posOffset>
                      </wp:positionV>
                      <wp:extent cx="192405" cy="279400"/>
                      <wp:effectExtent l="0" t="0" r="5715" b="10160"/>
                      <wp:wrapNone/>
                      <wp:docPr id="5" name="文本框 5"/>
                      <wp:cNvGraphicFramePr/>
                      <a:graphic xmlns:a="http://schemas.openxmlformats.org/drawingml/2006/main">
                        <a:graphicData uri="http://schemas.microsoft.com/office/word/2010/wordprocessingShape">
                          <wps:wsp>
                            <wps:cNvSpPr txBox="1"/>
                            <wps:spPr>
                              <a:xfrm>
                                <a:off x="1200785" y="5587365"/>
                                <a:ext cx="192405" cy="2794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b/>
                                      <w:bCs/>
                                      <w:sz w:val="18"/>
                                      <w:szCs w:val="18"/>
                                    </w:rPr>
                                  </w:pPr>
                                  <w:r>
                                    <w:rPr>
                                      <w:rFonts w:hint="eastAsia"/>
                                      <w:b/>
                                      <w:bCs/>
                                      <w:sz w:val="18"/>
                                      <w:szCs w:val="18"/>
                                    </w:rPr>
                                    <w:t>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25pt;margin-top:17.1pt;height:22pt;width:15.15pt;z-index:-251657216;mso-width-relative:page;mso-height-relative:page;" fillcolor="#FFFFFF [3201]" filled="t" stroked="f" coordsize="21600,21600" o:gfxdata="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Dcvly0gAAAAUBAAAPAAAAAAAAAAEAIAAAACIAAABkcnMvZG93&#10;bnJldi54bWxQSwECFAAUAAAACACHTuJA4zH4hT8CAABMBAAADgAAAAAAAAABACAAAAAhAQAAZHJz&#10;L2Uyb0RvYy54bWxQSwUGAAAAAAYABgBZAQAA0gUAAAAA&#10;">
                      <v:fill on="t" focussize="0,0"/>
                      <v:stroke on="f" weight="0.5pt"/>
                      <v:imagedata o:title=""/>
                      <o:lock v:ext="edit" aspectratio="f"/>
                      <v:textbox>
                        <w:txbxContent>
                          <w:p>
                            <w:pPr>
                              <w:rPr>
                                <w:b/>
                                <w:bCs/>
                                <w:sz w:val="18"/>
                                <w:szCs w:val="18"/>
                              </w:rPr>
                            </w:pPr>
                            <w:r>
                              <w:rPr>
                                <w:rFonts w:hint="eastAsia"/>
                                <w:b/>
                                <w:bCs/>
                                <w:sz w:val="18"/>
                                <w:szCs w:val="18"/>
                              </w:rPr>
                              <w:t>Y</w:t>
                            </w:r>
                          </w:p>
                        </w:txbxContent>
                      </v:textbox>
                    </v:shape>
                  </w:pict>
                </mc:Fallback>
              </mc:AlternateContent>
            </w:r>
            <w:r>
              <w:rPr>
                <w:rFonts w:hint="eastAsia"/>
                <w:kern w:val="15"/>
                <w:sz w:val="24"/>
                <w:lang w:bidi="ar"/>
              </w:rPr>
              <w:t>不同X、Y下的辐射角系数</w:t>
            </w:r>
            <w:r>
              <w:rPr>
                <w:bCs/>
                <w:i/>
                <w:iCs/>
                <w:sz w:val="24"/>
              </w:rPr>
              <w:t>φ</w:t>
            </w:r>
            <w:r>
              <w:rPr>
                <w:rFonts w:hint="eastAsia"/>
                <w:bCs/>
                <w:i/>
                <w:iCs/>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94" w:type="pct"/>
          </w:tcPr>
          <w:p>
            <w:pPr>
              <w:tabs>
                <w:tab w:val="left" w:pos="312"/>
              </w:tabs>
              <w:spacing w:line="360" w:lineRule="auto"/>
              <w:rPr>
                <w:bCs/>
                <w:spacing w:val="-17"/>
                <w:kern w:val="15"/>
                <w:sz w:val="28"/>
                <w:szCs w:val="28"/>
              </w:rPr>
            </w:pPr>
            <w:r>
              <w:rPr>
                <w:spacing w:val="-17"/>
                <w:kern w:val="15"/>
                <w:sz w:val="28"/>
              </w:rPr>
              <mc:AlternateContent>
                <mc:Choice Requires="wps">
                  <w:drawing>
                    <wp:anchor distT="0" distB="0" distL="114300" distR="114300" simplePos="0" relativeHeight="251660288" behindDoc="1" locked="0" layoutInCell="1" allowOverlap="1">
                      <wp:simplePos x="0" y="0"/>
                      <wp:positionH relativeFrom="column">
                        <wp:posOffset>-78740</wp:posOffset>
                      </wp:positionH>
                      <wp:positionV relativeFrom="paragraph">
                        <wp:posOffset>178435</wp:posOffset>
                      </wp:positionV>
                      <wp:extent cx="270510" cy="263525"/>
                      <wp:effectExtent l="0" t="0" r="3810" b="10795"/>
                      <wp:wrapNone/>
                      <wp:docPr id="6" name="文本框 6"/>
                      <wp:cNvGraphicFramePr/>
                      <a:graphic xmlns:a="http://schemas.openxmlformats.org/drawingml/2006/main">
                        <a:graphicData uri="http://schemas.microsoft.com/office/word/2010/wordprocessingShape">
                          <wps:wsp>
                            <wps:cNvSpPr txBox="1"/>
                            <wps:spPr>
                              <a:xfrm>
                                <a:off x="1096010" y="5899785"/>
                                <a:ext cx="270510" cy="2635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b/>
                                      <w:bCs/>
                                      <w:sz w:val="18"/>
                                      <w:szCs w:val="18"/>
                                    </w:rPr>
                                  </w:pPr>
                                  <w:r>
                                    <w:rPr>
                                      <w:rFonts w:hint="eastAsia"/>
                                      <w:b/>
                                      <w:bCs/>
                                      <w:sz w:val="18"/>
                                      <w:szCs w:val="18"/>
                                    </w:rPr>
                                    <w:t>X</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2pt;margin-top:14.05pt;height:20.75pt;width:21.3pt;z-index:-251656192;mso-width-relative:page;mso-height-relative:page;" fillcolor="#FFFFFF [3201]" filled="t" stroked="f" coordsize="21600,21600" o:gfxdata="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QDbLA1QAAAAgBAAAPAAAAAAAAAAEAIAAAACIAAABkcnMv&#10;ZG93bnJldi54bWxQSwECFAAUAAAACACHTuJA7mZm8j8CAABMBAAADgAAAAAAAAABACAAAAAkAQAA&#10;ZHJzL2Uyb0RvYy54bWxQSwUGAAAAAAYABgBZAQAA1QUAAAAA&#10;">
                      <v:fill on="t" focussize="0,0"/>
                      <v:stroke on="f" weight="0.5pt"/>
                      <v:imagedata o:title=""/>
                      <o:lock v:ext="edit" aspectratio="f"/>
                      <v:textbox>
                        <w:txbxContent>
                          <w:p>
                            <w:pPr>
                              <w:rPr>
                                <w:b/>
                                <w:bCs/>
                                <w:sz w:val="18"/>
                                <w:szCs w:val="18"/>
                              </w:rPr>
                            </w:pPr>
                            <w:r>
                              <w:rPr>
                                <w:rFonts w:hint="eastAsia"/>
                                <w:b/>
                                <w:bCs/>
                                <w:sz w:val="18"/>
                                <w:szCs w:val="18"/>
                              </w:rPr>
                              <w:t>X</w:t>
                            </w:r>
                          </w:p>
                        </w:txbxContent>
                      </v:textbox>
                    </v:shape>
                  </w:pict>
                </mc:Fallback>
              </mc:AlternateContent>
            </w:r>
            <w:r>
              <w:rPr>
                <w:sz w:val="28"/>
              </w:rPr>
              <mc:AlternateContent>
                <mc:Choice Requires="wps">
                  <w:drawing>
                    <wp:anchor distT="0" distB="0" distL="114300" distR="114300" simplePos="0" relativeHeight="251660288" behindDoc="0" locked="0" layoutInCell="1" allowOverlap="1">
                      <wp:simplePos x="0" y="0"/>
                      <wp:positionH relativeFrom="column">
                        <wp:posOffset>-65405</wp:posOffset>
                      </wp:positionH>
                      <wp:positionV relativeFrom="paragraph">
                        <wp:posOffset>0</wp:posOffset>
                      </wp:positionV>
                      <wp:extent cx="313690" cy="403860"/>
                      <wp:effectExtent l="3810" t="3175" r="17780" b="4445"/>
                      <wp:wrapNone/>
                      <wp:docPr id="1" name="直接连接符 1"/>
                      <wp:cNvGraphicFramePr/>
                      <a:graphic xmlns:a="http://schemas.openxmlformats.org/drawingml/2006/main">
                        <a:graphicData uri="http://schemas.microsoft.com/office/word/2010/wordprocessingShape">
                          <wps:wsp>
                            <wps:cNvCnPr/>
                            <wps:spPr>
                              <a:xfrm>
                                <a:off x="1077595" y="5873750"/>
                                <a:ext cx="313690" cy="4038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5.15pt;margin-top:0pt;height:31.8pt;width:24.7pt;z-index:251660288;mso-width-relative:page;mso-height-relative:page;" filled="f" stroked="t" coordsize="21600,21600" o:gfxdata="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Q7zON1QAAAAYBAAAPAAAAAAAAAAEA&#10;IAAAACIAAABkcnMvZG93bnJldi54bWxQSwECFAAUAAAACACHTuJAC1CkRNkBAABzAwAADgAAAAAA&#10;AAABACAAAAAkAQAAZHJzL2Uyb0RvYy54bWxQSwUGAAAAAAYABgBZAQAAbwUAAAAA&#10;">
                      <v:fill on="f" focussize="0,0"/>
                      <v:stroke weight="0.5pt" color="#000000 [3200]" miterlimit="8" joinstyle="miter"/>
                      <v:imagedata o:title=""/>
                      <o:lock v:ext="edit" aspectratio="f"/>
                    </v:line>
                  </w:pict>
                </mc:Fallback>
              </mc:AlternateContent>
            </w:r>
          </w:p>
        </w:tc>
        <w:tc>
          <w:tcPr>
            <w:tcW w:w="294" w:type="pct"/>
            <w:vAlign w:val="center"/>
          </w:tcPr>
          <w:p>
            <w:pPr>
              <w:widowControl/>
              <w:jc w:val="center"/>
              <w:textAlignment w:val="center"/>
              <w:rPr>
                <w:b/>
                <w:bCs/>
                <w:spacing w:val="-17"/>
                <w:kern w:val="15"/>
                <w:sz w:val="16"/>
                <w:szCs w:val="16"/>
              </w:rPr>
            </w:pPr>
            <w:r>
              <w:rPr>
                <w:b/>
                <w:bCs/>
                <w:spacing w:val="-17"/>
                <w:kern w:val="15"/>
                <w:sz w:val="16"/>
                <w:szCs w:val="16"/>
                <w:lang w:bidi="ar"/>
              </w:rPr>
              <w:t>0.125</w:t>
            </w:r>
          </w:p>
        </w:tc>
        <w:tc>
          <w:tcPr>
            <w:tcW w:w="294" w:type="pct"/>
            <w:vAlign w:val="center"/>
          </w:tcPr>
          <w:p>
            <w:pPr>
              <w:widowControl/>
              <w:jc w:val="center"/>
              <w:textAlignment w:val="center"/>
              <w:rPr>
                <w:b/>
                <w:bCs/>
                <w:spacing w:val="-17"/>
                <w:kern w:val="15"/>
                <w:sz w:val="16"/>
                <w:szCs w:val="16"/>
              </w:rPr>
            </w:pPr>
            <w:r>
              <w:rPr>
                <w:b/>
                <w:bCs/>
                <w:spacing w:val="-17"/>
                <w:kern w:val="15"/>
                <w:sz w:val="16"/>
                <w:szCs w:val="16"/>
                <w:lang w:bidi="ar"/>
              </w:rPr>
              <w:t>0.25</w:t>
            </w:r>
            <w:r>
              <w:rPr>
                <w:rFonts w:hint="eastAsia"/>
                <w:b/>
                <w:bCs/>
                <w:spacing w:val="-17"/>
                <w:kern w:val="15"/>
                <w:sz w:val="16"/>
                <w:szCs w:val="16"/>
                <w:lang w:bidi="ar"/>
              </w:rPr>
              <w:t>0</w:t>
            </w:r>
          </w:p>
        </w:tc>
        <w:tc>
          <w:tcPr>
            <w:tcW w:w="294" w:type="pct"/>
            <w:vAlign w:val="center"/>
          </w:tcPr>
          <w:p>
            <w:pPr>
              <w:widowControl/>
              <w:jc w:val="center"/>
              <w:textAlignment w:val="center"/>
              <w:rPr>
                <w:b/>
                <w:bCs/>
                <w:spacing w:val="-17"/>
                <w:kern w:val="15"/>
                <w:sz w:val="16"/>
                <w:szCs w:val="16"/>
              </w:rPr>
            </w:pPr>
            <w:r>
              <w:rPr>
                <w:b/>
                <w:bCs/>
                <w:spacing w:val="-17"/>
                <w:kern w:val="15"/>
                <w:sz w:val="16"/>
                <w:szCs w:val="16"/>
                <w:lang w:bidi="ar"/>
              </w:rPr>
              <w:t>0.375</w:t>
            </w:r>
          </w:p>
        </w:tc>
        <w:tc>
          <w:tcPr>
            <w:tcW w:w="294" w:type="pct"/>
            <w:vAlign w:val="center"/>
          </w:tcPr>
          <w:p>
            <w:pPr>
              <w:widowControl/>
              <w:jc w:val="center"/>
              <w:textAlignment w:val="center"/>
              <w:rPr>
                <w:b/>
                <w:bCs/>
                <w:spacing w:val="-17"/>
                <w:kern w:val="15"/>
                <w:sz w:val="16"/>
                <w:szCs w:val="16"/>
              </w:rPr>
            </w:pPr>
            <w:r>
              <w:rPr>
                <w:b/>
                <w:bCs/>
                <w:spacing w:val="-17"/>
                <w:kern w:val="15"/>
                <w:sz w:val="16"/>
                <w:szCs w:val="16"/>
                <w:lang w:bidi="ar"/>
              </w:rPr>
              <w:t>0.5</w:t>
            </w:r>
            <w:r>
              <w:rPr>
                <w:rFonts w:hint="eastAsia"/>
                <w:b/>
                <w:bCs/>
                <w:spacing w:val="-17"/>
                <w:kern w:val="15"/>
                <w:sz w:val="16"/>
                <w:szCs w:val="16"/>
                <w:lang w:bidi="ar"/>
              </w:rPr>
              <w:t>00</w:t>
            </w:r>
          </w:p>
        </w:tc>
        <w:tc>
          <w:tcPr>
            <w:tcW w:w="294" w:type="pct"/>
            <w:vAlign w:val="center"/>
          </w:tcPr>
          <w:p>
            <w:pPr>
              <w:widowControl/>
              <w:jc w:val="center"/>
              <w:textAlignment w:val="center"/>
              <w:rPr>
                <w:b/>
                <w:bCs/>
                <w:spacing w:val="-17"/>
                <w:kern w:val="15"/>
                <w:sz w:val="16"/>
                <w:szCs w:val="16"/>
              </w:rPr>
            </w:pPr>
            <w:r>
              <w:rPr>
                <w:b/>
                <w:bCs/>
                <w:spacing w:val="-17"/>
                <w:kern w:val="15"/>
                <w:sz w:val="16"/>
                <w:szCs w:val="16"/>
                <w:lang w:bidi="ar"/>
              </w:rPr>
              <w:t>0.625</w:t>
            </w:r>
          </w:p>
        </w:tc>
        <w:tc>
          <w:tcPr>
            <w:tcW w:w="294" w:type="pct"/>
            <w:vAlign w:val="center"/>
          </w:tcPr>
          <w:p>
            <w:pPr>
              <w:widowControl/>
              <w:jc w:val="center"/>
              <w:textAlignment w:val="center"/>
              <w:rPr>
                <w:b/>
                <w:bCs/>
                <w:spacing w:val="-17"/>
                <w:kern w:val="15"/>
                <w:sz w:val="16"/>
                <w:szCs w:val="16"/>
              </w:rPr>
            </w:pPr>
            <w:r>
              <w:rPr>
                <w:b/>
                <w:bCs/>
                <w:spacing w:val="-17"/>
                <w:kern w:val="15"/>
                <w:sz w:val="16"/>
                <w:szCs w:val="16"/>
                <w:lang w:bidi="ar"/>
              </w:rPr>
              <w:t>0.75</w:t>
            </w:r>
            <w:r>
              <w:rPr>
                <w:rFonts w:hint="eastAsia"/>
                <w:b/>
                <w:bCs/>
                <w:spacing w:val="-17"/>
                <w:kern w:val="15"/>
                <w:sz w:val="16"/>
                <w:szCs w:val="16"/>
                <w:lang w:bidi="ar"/>
              </w:rPr>
              <w:t>0</w:t>
            </w:r>
          </w:p>
        </w:tc>
        <w:tc>
          <w:tcPr>
            <w:tcW w:w="294" w:type="pct"/>
            <w:vAlign w:val="center"/>
          </w:tcPr>
          <w:p>
            <w:pPr>
              <w:widowControl/>
              <w:jc w:val="center"/>
              <w:textAlignment w:val="center"/>
              <w:rPr>
                <w:b/>
                <w:bCs/>
                <w:spacing w:val="-17"/>
                <w:kern w:val="15"/>
                <w:sz w:val="16"/>
                <w:szCs w:val="16"/>
              </w:rPr>
            </w:pPr>
            <w:r>
              <w:rPr>
                <w:b/>
                <w:bCs/>
                <w:spacing w:val="-17"/>
                <w:kern w:val="15"/>
                <w:sz w:val="16"/>
                <w:szCs w:val="16"/>
                <w:lang w:bidi="ar"/>
              </w:rPr>
              <w:t>0.875</w:t>
            </w:r>
          </w:p>
        </w:tc>
        <w:tc>
          <w:tcPr>
            <w:tcW w:w="294" w:type="pct"/>
            <w:vAlign w:val="center"/>
          </w:tcPr>
          <w:p>
            <w:pPr>
              <w:widowControl/>
              <w:jc w:val="center"/>
              <w:textAlignment w:val="center"/>
              <w:rPr>
                <w:b/>
                <w:bCs/>
                <w:spacing w:val="-17"/>
                <w:kern w:val="15"/>
                <w:sz w:val="16"/>
                <w:szCs w:val="16"/>
              </w:rPr>
            </w:pPr>
            <w:r>
              <w:rPr>
                <w:b/>
                <w:bCs/>
                <w:spacing w:val="-17"/>
                <w:kern w:val="15"/>
                <w:sz w:val="16"/>
                <w:szCs w:val="16"/>
                <w:lang w:bidi="ar"/>
              </w:rPr>
              <w:t>1</w:t>
            </w:r>
            <w:r>
              <w:rPr>
                <w:rFonts w:hint="eastAsia"/>
                <w:b/>
                <w:bCs/>
                <w:spacing w:val="-17"/>
                <w:kern w:val="15"/>
                <w:sz w:val="16"/>
                <w:szCs w:val="16"/>
                <w:lang w:bidi="ar"/>
              </w:rPr>
              <w:t>.000</w:t>
            </w:r>
          </w:p>
        </w:tc>
        <w:tc>
          <w:tcPr>
            <w:tcW w:w="294" w:type="pct"/>
            <w:vAlign w:val="center"/>
          </w:tcPr>
          <w:p>
            <w:pPr>
              <w:widowControl/>
              <w:jc w:val="center"/>
              <w:textAlignment w:val="center"/>
              <w:rPr>
                <w:b/>
                <w:bCs/>
                <w:spacing w:val="-17"/>
                <w:kern w:val="15"/>
                <w:sz w:val="16"/>
                <w:szCs w:val="16"/>
              </w:rPr>
            </w:pPr>
            <w:r>
              <w:rPr>
                <w:b/>
                <w:bCs/>
                <w:spacing w:val="-17"/>
                <w:kern w:val="15"/>
                <w:sz w:val="16"/>
                <w:szCs w:val="16"/>
                <w:lang w:bidi="ar"/>
              </w:rPr>
              <w:t>1.125</w:t>
            </w:r>
          </w:p>
        </w:tc>
        <w:tc>
          <w:tcPr>
            <w:tcW w:w="294" w:type="pct"/>
            <w:vAlign w:val="center"/>
          </w:tcPr>
          <w:p>
            <w:pPr>
              <w:widowControl/>
              <w:jc w:val="center"/>
              <w:textAlignment w:val="center"/>
              <w:rPr>
                <w:b/>
                <w:bCs/>
                <w:spacing w:val="-17"/>
                <w:kern w:val="15"/>
                <w:sz w:val="16"/>
                <w:szCs w:val="16"/>
              </w:rPr>
            </w:pPr>
            <w:r>
              <w:rPr>
                <w:b/>
                <w:bCs/>
                <w:spacing w:val="-17"/>
                <w:kern w:val="15"/>
                <w:sz w:val="16"/>
                <w:szCs w:val="16"/>
                <w:lang w:bidi="ar"/>
              </w:rPr>
              <w:t>1.25</w:t>
            </w:r>
            <w:r>
              <w:rPr>
                <w:rFonts w:hint="eastAsia"/>
                <w:b/>
                <w:bCs/>
                <w:spacing w:val="-17"/>
                <w:kern w:val="15"/>
                <w:sz w:val="16"/>
                <w:szCs w:val="16"/>
                <w:lang w:bidi="ar"/>
              </w:rPr>
              <w:t>0</w:t>
            </w:r>
          </w:p>
        </w:tc>
        <w:tc>
          <w:tcPr>
            <w:tcW w:w="294" w:type="pct"/>
            <w:vAlign w:val="center"/>
          </w:tcPr>
          <w:p>
            <w:pPr>
              <w:widowControl/>
              <w:jc w:val="center"/>
              <w:textAlignment w:val="center"/>
              <w:rPr>
                <w:b/>
                <w:bCs/>
                <w:spacing w:val="-17"/>
                <w:kern w:val="15"/>
                <w:sz w:val="16"/>
                <w:szCs w:val="16"/>
              </w:rPr>
            </w:pPr>
            <w:r>
              <w:rPr>
                <w:b/>
                <w:bCs/>
                <w:spacing w:val="-17"/>
                <w:kern w:val="15"/>
                <w:sz w:val="16"/>
                <w:szCs w:val="16"/>
                <w:lang w:bidi="ar"/>
              </w:rPr>
              <w:t>1.375</w:t>
            </w:r>
          </w:p>
        </w:tc>
        <w:tc>
          <w:tcPr>
            <w:tcW w:w="294" w:type="pct"/>
            <w:vAlign w:val="center"/>
          </w:tcPr>
          <w:p>
            <w:pPr>
              <w:widowControl/>
              <w:jc w:val="center"/>
              <w:textAlignment w:val="center"/>
              <w:rPr>
                <w:b/>
                <w:bCs/>
                <w:spacing w:val="-17"/>
                <w:kern w:val="15"/>
                <w:sz w:val="16"/>
                <w:szCs w:val="16"/>
              </w:rPr>
            </w:pPr>
            <w:r>
              <w:rPr>
                <w:b/>
                <w:bCs/>
                <w:spacing w:val="-17"/>
                <w:kern w:val="15"/>
                <w:sz w:val="16"/>
                <w:szCs w:val="16"/>
                <w:lang w:bidi="ar"/>
              </w:rPr>
              <w:t>1.5</w:t>
            </w:r>
            <w:r>
              <w:rPr>
                <w:rFonts w:hint="eastAsia"/>
                <w:b/>
                <w:bCs/>
                <w:spacing w:val="-17"/>
                <w:kern w:val="15"/>
                <w:sz w:val="16"/>
                <w:szCs w:val="16"/>
                <w:lang w:bidi="ar"/>
              </w:rPr>
              <w:t>00</w:t>
            </w:r>
          </w:p>
        </w:tc>
        <w:tc>
          <w:tcPr>
            <w:tcW w:w="294" w:type="pct"/>
            <w:vAlign w:val="center"/>
          </w:tcPr>
          <w:p>
            <w:pPr>
              <w:widowControl/>
              <w:jc w:val="center"/>
              <w:textAlignment w:val="center"/>
              <w:rPr>
                <w:b/>
                <w:bCs/>
                <w:spacing w:val="-17"/>
                <w:kern w:val="15"/>
                <w:sz w:val="16"/>
                <w:szCs w:val="16"/>
              </w:rPr>
            </w:pPr>
            <w:r>
              <w:rPr>
                <w:b/>
                <w:bCs/>
                <w:spacing w:val="-17"/>
                <w:kern w:val="15"/>
                <w:sz w:val="16"/>
                <w:szCs w:val="16"/>
                <w:lang w:bidi="ar"/>
              </w:rPr>
              <w:t>1.625</w:t>
            </w:r>
          </w:p>
        </w:tc>
        <w:tc>
          <w:tcPr>
            <w:tcW w:w="294" w:type="pct"/>
            <w:vAlign w:val="center"/>
          </w:tcPr>
          <w:p>
            <w:pPr>
              <w:widowControl/>
              <w:jc w:val="center"/>
              <w:textAlignment w:val="center"/>
              <w:rPr>
                <w:b/>
                <w:bCs/>
                <w:spacing w:val="-17"/>
                <w:kern w:val="15"/>
                <w:sz w:val="16"/>
                <w:szCs w:val="16"/>
              </w:rPr>
            </w:pPr>
            <w:r>
              <w:rPr>
                <w:b/>
                <w:bCs/>
                <w:spacing w:val="-17"/>
                <w:kern w:val="15"/>
                <w:sz w:val="16"/>
                <w:szCs w:val="16"/>
                <w:lang w:bidi="ar"/>
              </w:rPr>
              <w:t>1.75</w:t>
            </w:r>
            <w:r>
              <w:rPr>
                <w:rFonts w:hint="eastAsia"/>
                <w:b/>
                <w:bCs/>
                <w:spacing w:val="-17"/>
                <w:kern w:val="15"/>
                <w:sz w:val="16"/>
                <w:szCs w:val="16"/>
                <w:lang w:bidi="ar"/>
              </w:rPr>
              <w:t>0</w:t>
            </w:r>
          </w:p>
        </w:tc>
        <w:tc>
          <w:tcPr>
            <w:tcW w:w="294" w:type="pct"/>
            <w:vAlign w:val="center"/>
          </w:tcPr>
          <w:p>
            <w:pPr>
              <w:widowControl/>
              <w:jc w:val="center"/>
              <w:textAlignment w:val="center"/>
              <w:rPr>
                <w:b/>
                <w:bCs/>
                <w:spacing w:val="-17"/>
                <w:kern w:val="15"/>
                <w:sz w:val="16"/>
                <w:szCs w:val="16"/>
              </w:rPr>
            </w:pPr>
            <w:r>
              <w:rPr>
                <w:b/>
                <w:bCs/>
                <w:spacing w:val="-17"/>
                <w:kern w:val="15"/>
                <w:sz w:val="16"/>
                <w:szCs w:val="16"/>
                <w:lang w:bidi="ar"/>
              </w:rPr>
              <w:t>1.875</w:t>
            </w:r>
          </w:p>
        </w:tc>
        <w:tc>
          <w:tcPr>
            <w:tcW w:w="294" w:type="pct"/>
            <w:vAlign w:val="center"/>
          </w:tcPr>
          <w:p>
            <w:pPr>
              <w:widowControl/>
              <w:jc w:val="center"/>
              <w:textAlignment w:val="center"/>
              <w:rPr>
                <w:b/>
                <w:bCs/>
                <w:spacing w:val="-17"/>
                <w:kern w:val="15"/>
                <w:sz w:val="16"/>
                <w:szCs w:val="16"/>
              </w:rPr>
            </w:pPr>
            <w:r>
              <w:rPr>
                <w:b/>
                <w:bCs/>
                <w:spacing w:val="-17"/>
                <w:kern w:val="15"/>
                <w:sz w:val="16"/>
                <w:szCs w:val="16"/>
                <w:lang w:bidi="ar"/>
              </w:rPr>
              <w:t>2</w:t>
            </w:r>
            <w:r>
              <w:rPr>
                <w:rFonts w:hint="eastAsia"/>
                <w:b/>
                <w:bCs/>
                <w:spacing w:val="-17"/>
                <w:kern w:val="15"/>
                <w:sz w:val="16"/>
                <w:szCs w:val="16"/>
                <w:lang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Align w:val="center"/>
          </w:tcPr>
          <w:p>
            <w:pPr>
              <w:widowControl/>
              <w:jc w:val="center"/>
              <w:textAlignment w:val="center"/>
              <w:rPr>
                <w:b/>
                <w:bCs/>
                <w:spacing w:val="-17"/>
                <w:kern w:val="15"/>
                <w:sz w:val="16"/>
                <w:szCs w:val="16"/>
              </w:rPr>
            </w:pPr>
            <w:r>
              <w:rPr>
                <w:b/>
                <w:bCs/>
                <w:spacing w:val="-17"/>
                <w:kern w:val="15"/>
                <w:sz w:val="16"/>
                <w:szCs w:val="16"/>
                <w:lang w:bidi="ar"/>
              </w:rPr>
              <w:t>0.125</w:t>
            </w:r>
          </w:p>
        </w:tc>
        <w:tc>
          <w:tcPr>
            <w:tcW w:w="294" w:type="pct"/>
            <w:vAlign w:val="center"/>
          </w:tcPr>
          <w:p>
            <w:pPr>
              <w:widowControl/>
              <w:jc w:val="center"/>
              <w:textAlignment w:val="center"/>
              <w:rPr>
                <w:bCs/>
                <w:spacing w:val="-17"/>
                <w:kern w:val="0"/>
                <w:sz w:val="16"/>
                <w:szCs w:val="16"/>
              </w:rPr>
            </w:pPr>
            <w:r>
              <w:rPr>
                <w:spacing w:val="-17"/>
                <w:kern w:val="0"/>
                <w:sz w:val="16"/>
                <w:szCs w:val="16"/>
                <w:lang w:bidi="ar"/>
              </w:rPr>
              <w:t>0.019</w:t>
            </w:r>
          </w:p>
        </w:tc>
        <w:tc>
          <w:tcPr>
            <w:tcW w:w="294" w:type="pct"/>
            <w:vAlign w:val="center"/>
          </w:tcPr>
          <w:p>
            <w:pPr>
              <w:widowControl/>
              <w:jc w:val="center"/>
              <w:textAlignment w:val="center"/>
              <w:rPr>
                <w:bCs/>
                <w:spacing w:val="-17"/>
                <w:kern w:val="0"/>
                <w:sz w:val="16"/>
                <w:szCs w:val="16"/>
              </w:rPr>
            </w:pPr>
            <w:r>
              <w:rPr>
                <w:spacing w:val="-17"/>
                <w:kern w:val="0"/>
                <w:sz w:val="16"/>
                <w:szCs w:val="16"/>
                <w:lang w:bidi="ar"/>
              </w:rPr>
              <w:t>0.038</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0.054</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0.068</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0.079</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0.089</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0.096</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0.101</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0.106</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0.109</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0.112</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0.114</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0.116</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0.117</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0.118</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Align w:val="center"/>
          </w:tcPr>
          <w:p>
            <w:pPr>
              <w:widowControl/>
              <w:jc w:val="center"/>
              <w:textAlignment w:val="center"/>
              <w:rPr>
                <w:b/>
                <w:bCs/>
                <w:spacing w:val="-17"/>
                <w:kern w:val="15"/>
                <w:sz w:val="16"/>
                <w:szCs w:val="16"/>
              </w:rPr>
            </w:pPr>
            <w:r>
              <w:rPr>
                <w:b/>
                <w:bCs/>
                <w:spacing w:val="-17"/>
                <w:kern w:val="15"/>
                <w:sz w:val="16"/>
                <w:szCs w:val="16"/>
                <w:lang w:bidi="ar"/>
              </w:rPr>
              <w:t>0.25</w:t>
            </w:r>
            <w:r>
              <w:rPr>
                <w:rFonts w:hint="eastAsia"/>
                <w:b/>
                <w:bCs/>
                <w:spacing w:val="-17"/>
                <w:kern w:val="15"/>
                <w:sz w:val="16"/>
                <w:szCs w:val="16"/>
                <w:lang w:bidi="ar"/>
              </w:rPr>
              <w:t>0</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0.038</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0.073</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0.105</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0.132</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0.155</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0.173</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0.187</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0.198</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0.206</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0.213</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0.218</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0.223</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0.226</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0.229</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0.231</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Align w:val="center"/>
          </w:tcPr>
          <w:p>
            <w:pPr>
              <w:widowControl/>
              <w:jc w:val="center"/>
              <w:textAlignment w:val="center"/>
              <w:rPr>
                <w:b/>
                <w:bCs/>
                <w:spacing w:val="-17"/>
                <w:kern w:val="15"/>
                <w:sz w:val="16"/>
                <w:szCs w:val="16"/>
              </w:rPr>
            </w:pPr>
            <w:r>
              <w:rPr>
                <w:b/>
                <w:bCs/>
                <w:spacing w:val="-17"/>
                <w:kern w:val="15"/>
                <w:sz w:val="16"/>
                <w:szCs w:val="16"/>
                <w:lang w:bidi="ar"/>
              </w:rPr>
              <w:t>0.375</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0.054</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0.105</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0.151</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0.190</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0.222</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0.248</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0.269</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0.285</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0.298</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0.307</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0.315</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0.321</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0.326</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0.330</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0.334</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0.336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Align w:val="center"/>
          </w:tcPr>
          <w:p>
            <w:pPr>
              <w:widowControl/>
              <w:jc w:val="center"/>
              <w:textAlignment w:val="center"/>
              <w:rPr>
                <w:b/>
                <w:bCs/>
                <w:spacing w:val="-17"/>
                <w:kern w:val="15"/>
                <w:sz w:val="16"/>
                <w:szCs w:val="16"/>
              </w:rPr>
            </w:pPr>
            <w:r>
              <w:rPr>
                <w:b/>
                <w:bCs/>
                <w:spacing w:val="-17"/>
                <w:kern w:val="15"/>
                <w:sz w:val="16"/>
                <w:szCs w:val="16"/>
                <w:lang w:bidi="ar"/>
              </w:rPr>
              <w:t>0.5</w:t>
            </w:r>
            <w:r>
              <w:rPr>
                <w:rFonts w:hint="eastAsia"/>
                <w:b/>
                <w:bCs/>
                <w:spacing w:val="-17"/>
                <w:kern w:val="15"/>
                <w:sz w:val="16"/>
                <w:szCs w:val="16"/>
                <w:lang w:bidi="ar"/>
              </w:rPr>
              <w:t>00</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0.068</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0.132</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0.190</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0.239</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0.280</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0.314</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0.340</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0.361</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0.377</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0.390</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0.400</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0.408</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0.415</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0.420</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0.424</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0.427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Align w:val="center"/>
          </w:tcPr>
          <w:p>
            <w:pPr>
              <w:widowControl/>
              <w:jc w:val="center"/>
              <w:textAlignment w:val="center"/>
              <w:rPr>
                <w:b/>
                <w:bCs/>
                <w:spacing w:val="-17"/>
                <w:kern w:val="15"/>
                <w:sz w:val="16"/>
                <w:szCs w:val="16"/>
              </w:rPr>
            </w:pPr>
            <w:r>
              <w:rPr>
                <w:b/>
                <w:bCs/>
                <w:spacing w:val="-17"/>
                <w:kern w:val="15"/>
                <w:sz w:val="16"/>
                <w:szCs w:val="16"/>
                <w:lang w:bidi="ar"/>
              </w:rPr>
              <w:t>0.625</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0.079</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0.155</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0.222</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0.280</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0.329</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0.368</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0.400</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0.425</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0.444</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0.460</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0.472</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0.482</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0.490</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0.496</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0.501</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0.505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Align w:val="center"/>
          </w:tcPr>
          <w:p>
            <w:pPr>
              <w:widowControl/>
              <w:jc w:val="center"/>
              <w:textAlignment w:val="center"/>
              <w:rPr>
                <w:b/>
                <w:bCs/>
                <w:spacing w:val="-17"/>
                <w:kern w:val="15"/>
                <w:sz w:val="16"/>
                <w:szCs w:val="16"/>
              </w:rPr>
            </w:pPr>
            <w:r>
              <w:rPr>
                <w:b/>
                <w:bCs/>
                <w:spacing w:val="-17"/>
                <w:kern w:val="15"/>
                <w:sz w:val="16"/>
                <w:szCs w:val="16"/>
                <w:lang w:bidi="ar"/>
              </w:rPr>
              <w:t>0.75</w:t>
            </w:r>
            <w:r>
              <w:rPr>
                <w:rFonts w:hint="eastAsia"/>
                <w:b/>
                <w:bCs/>
                <w:spacing w:val="-17"/>
                <w:kern w:val="15"/>
                <w:sz w:val="16"/>
                <w:szCs w:val="16"/>
                <w:lang w:bidi="ar"/>
              </w:rPr>
              <w:t>0</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0.089</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0.173</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0.248</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0.314</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0.368</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0.413</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0.449</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0.477</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0.500</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0.518</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0.532</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0.543</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0.553</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0.560</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0.566</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0.571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Align w:val="center"/>
          </w:tcPr>
          <w:p>
            <w:pPr>
              <w:widowControl/>
              <w:jc w:val="center"/>
              <w:textAlignment w:val="center"/>
              <w:rPr>
                <w:b/>
                <w:bCs/>
                <w:spacing w:val="-17"/>
                <w:kern w:val="15"/>
                <w:sz w:val="16"/>
                <w:szCs w:val="16"/>
              </w:rPr>
            </w:pPr>
            <w:r>
              <w:rPr>
                <w:b/>
                <w:bCs/>
                <w:spacing w:val="-17"/>
                <w:kern w:val="15"/>
                <w:sz w:val="16"/>
                <w:szCs w:val="16"/>
                <w:lang w:bidi="ar"/>
              </w:rPr>
              <w:t>0.875</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0.096</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0.187</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0.269</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0.340</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0.400</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0.449</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0.488</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0.520</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0.545</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0.565</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0.581</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0.594</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0.604</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0.613</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0.619</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Align w:val="center"/>
          </w:tcPr>
          <w:p>
            <w:pPr>
              <w:widowControl/>
              <w:jc w:val="center"/>
              <w:textAlignment w:val="center"/>
              <w:rPr>
                <w:b/>
                <w:bCs/>
                <w:spacing w:val="-17"/>
                <w:kern w:val="15"/>
                <w:sz w:val="16"/>
                <w:szCs w:val="16"/>
              </w:rPr>
            </w:pPr>
            <w:r>
              <w:rPr>
                <w:b/>
                <w:bCs/>
                <w:spacing w:val="-17"/>
                <w:kern w:val="15"/>
                <w:sz w:val="16"/>
                <w:szCs w:val="16"/>
                <w:lang w:bidi="ar"/>
              </w:rPr>
              <w:t>1</w:t>
            </w:r>
            <w:r>
              <w:rPr>
                <w:rFonts w:hint="eastAsia"/>
                <w:b/>
                <w:bCs/>
                <w:spacing w:val="-17"/>
                <w:kern w:val="15"/>
                <w:sz w:val="16"/>
                <w:szCs w:val="16"/>
                <w:lang w:bidi="ar"/>
              </w:rPr>
              <w:t>.000</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0.101</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0.198</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0.285</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0.361</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0.425</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0.477</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0.520</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0.554</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0.582</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0.603</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0.621</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0.635</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0.646</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0.656</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0.663</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0.670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Align w:val="center"/>
          </w:tcPr>
          <w:p>
            <w:pPr>
              <w:widowControl/>
              <w:jc w:val="center"/>
              <w:textAlignment w:val="center"/>
              <w:rPr>
                <w:b/>
                <w:bCs/>
                <w:spacing w:val="-17"/>
                <w:kern w:val="15"/>
                <w:sz w:val="16"/>
                <w:szCs w:val="16"/>
              </w:rPr>
            </w:pPr>
            <w:r>
              <w:rPr>
                <w:b/>
                <w:bCs/>
                <w:spacing w:val="-17"/>
                <w:kern w:val="15"/>
                <w:sz w:val="16"/>
                <w:szCs w:val="16"/>
                <w:lang w:bidi="ar"/>
              </w:rPr>
              <w:t>1.125</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0.106</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0.206</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0.298</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0.377</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0.444</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0.500</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0.545</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0.582</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0.611</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0.634</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0.653</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0.668</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0.681</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0.691</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0.699</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Align w:val="center"/>
          </w:tcPr>
          <w:p>
            <w:pPr>
              <w:widowControl/>
              <w:jc w:val="center"/>
              <w:textAlignment w:val="center"/>
              <w:rPr>
                <w:b/>
                <w:bCs/>
                <w:spacing w:val="-17"/>
                <w:kern w:val="15"/>
                <w:sz w:val="16"/>
                <w:szCs w:val="16"/>
              </w:rPr>
            </w:pPr>
            <w:r>
              <w:rPr>
                <w:b/>
                <w:bCs/>
                <w:spacing w:val="-17"/>
                <w:kern w:val="15"/>
                <w:sz w:val="16"/>
                <w:szCs w:val="16"/>
                <w:lang w:bidi="ar"/>
              </w:rPr>
              <w:t>1.25</w:t>
            </w:r>
            <w:r>
              <w:rPr>
                <w:rFonts w:hint="eastAsia"/>
                <w:b/>
                <w:bCs/>
                <w:spacing w:val="-17"/>
                <w:kern w:val="15"/>
                <w:sz w:val="16"/>
                <w:szCs w:val="16"/>
                <w:lang w:bidi="ar"/>
              </w:rPr>
              <w:t>0</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0.109</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0.213</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0.307</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0.390</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0.460</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0.518</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0.565</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0.603</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0.634</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0.659</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0.679</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0.695</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0.709</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0.719</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0.728</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Align w:val="center"/>
          </w:tcPr>
          <w:p>
            <w:pPr>
              <w:widowControl/>
              <w:jc w:val="center"/>
              <w:textAlignment w:val="center"/>
              <w:rPr>
                <w:b/>
                <w:bCs/>
                <w:spacing w:val="-17"/>
                <w:kern w:val="15"/>
                <w:sz w:val="16"/>
                <w:szCs w:val="16"/>
              </w:rPr>
            </w:pPr>
            <w:r>
              <w:rPr>
                <w:b/>
                <w:bCs/>
                <w:spacing w:val="-17"/>
                <w:kern w:val="15"/>
                <w:sz w:val="16"/>
                <w:szCs w:val="16"/>
                <w:lang w:bidi="ar"/>
              </w:rPr>
              <w:t>1.375</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0.112</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0.218</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0.315</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0.400</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0.472</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0.532</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0.581</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0.621</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0.653</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0.679</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0.700</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0.717</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0.731</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0.743</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0.752</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Align w:val="center"/>
          </w:tcPr>
          <w:p>
            <w:pPr>
              <w:widowControl/>
              <w:jc w:val="center"/>
              <w:textAlignment w:val="center"/>
              <w:rPr>
                <w:b/>
                <w:bCs/>
                <w:spacing w:val="-17"/>
                <w:kern w:val="15"/>
                <w:sz w:val="16"/>
                <w:szCs w:val="16"/>
              </w:rPr>
            </w:pPr>
            <w:r>
              <w:rPr>
                <w:b/>
                <w:bCs/>
                <w:spacing w:val="-17"/>
                <w:kern w:val="15"/>
                <w:sz w:val="16"/>
                <w:szCs w:val="16"/>
                <w:lang w:bidi="ar"/>
              </w:rPr>
              <w:t>1.5</w:t>
            </w:r>
            <w:r>
              <w:rPr>
                <w:rFonts w:hint="eastAsia"/>
                <w:b/>
                <w:bCs/>
                <w:spacing w:val="-17"/>
                <w:kern w:val="15"/>
                <w:sz w:val="16"/>
                <w:szCs w:val="16"/>
                <w:lang w:bidi="ar"/>
              </w:rPr>
              <w:t>00</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0.114</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0.223</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0.321</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0.408</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0.482</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0.543</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0.594</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0.635</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0.668</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0.695</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0.717</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0.735</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0.750</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0.762</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0.772</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Align w:val="center"/>
          </w:tcPr>
          <w:p>
            <w:pPr>
              <w:widowControl/>
              <w:jc w:val="center"/>
              <w:textAlignment w:val="center"/>
              <w:rPr>
                <w:b/>
                <w:bCs/>
                <w:spacing w:val="-17"/>
                <w:kern w:val="15"/>
                <w:sz w:val="16"/>
                <w:szCs w:val="16"/>
              </w:rPr>
            </w:pPr>
            <w:r>
              <w:rPr>
                <w:b/>
                <w:bCs/>
                <w:spacing w:val="-17"/>
                <w:kern w:val="15"/>
                <w:sz w:val="16"/>
                <w:szCs w:val="16"/>
                <w:lang w:bidi="ar"/>
              </w:rPr>
              <w:t>1.625</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0.116</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0.226</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0.326</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0.415</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0.490</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0.553</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0.604</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0.646</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0.681</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0.709</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0.731</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0.750</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0.765</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0.777</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0.788</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Align w:val="center"/>
          </w:tcPr>
          <w:p>
            <w:pPr>
              <w:widowControl/>
              <w:jc w:val="center"/>
              <w:textAlignment w:val="center"/>
              <w:rPr>
                <w:b/>
                <w:bCs/>
                <w:spacing w:val="-17"/>
                <w:kern w:val="15"/>
                <w:sz w:val="16"/>
                <w:szCs w:val="16"/>
              </w:rPr>
            </w:pPr>
            <w:r>
              <w:rPr>
                <w:b/>
                <w:bCs/>
                <w:spacing w:val="-17"/>
                <w:kern w:val="15"/>
                <w:sz w:val="16"/>
                <w:szCs w:val="16"/>
                <w:lang w:bidi="ar"/>
              </w:rPr>
              <w:t>1.75</w:t>
            </w:r>
            <w:r>
              <w:rPr>
                <w:rFonts w:hint="eastAsia"/>
                <w:b/>
                <w:bCs/>
                <w:spacing w:val="-17"/>
                <w:kern w:val="15"/>
                <w:sz w:val="16"/>
                <w:szCs w:val="16"/>
                <w:lang w:bidi="ar"/>
              </w:rPr>
              <w:t>0</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0.117</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0.229</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0.330</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0.420</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0.496</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0.560</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0.613</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0.656</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0.691</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0.719</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0.743</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0.762</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0.777</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0.790</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0.801</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Align w:val="center"/>
          </w:tcPr>
          <w:p>
            <w:pPr>
              <w:widowControl/>
              <w:jc w:val="center"/>
              <w:textAlignment w:val="center"/>
              <w:rPr>
                <w:b/>
                <w:bCs/>
                <w:spacing w:val="-17"/>
                <w:kern w:val="15"/>
                <w:sz w:val="16"/>
                <w:szCs w:val="16"/>
              </w:rPr>
            </w:pPr>
            <w:r>
              <w:rPr>
                <w:b/>
                <w:bCs/>
                <w:spacing w:val="-17"/>
                <w:kern w:val="15"/>
                <w:sz w:val="16"/>
                <w:szCs w:val="16"/>
                <w:lang w:bidi="ar"/>
              </w:rPr>
              <w:t>1.875</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0.118</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0.231</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0.334</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0.424</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0.501</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0.566</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0.619</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0.663</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0.699</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0.728</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0.752</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0.772</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0.788</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0.801</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0.812</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Align w:val="center"/>
          </w:tcPr>
          <w:p>
            <w:pPr>
              <w:widowControl/>
              <w:jc w:val="center"/>
              <w:textAlignment w:val="center"/>
              <w:rPr>
                <w:b/>
                <w:bCs/>
                <w:spacing w:val="-17"/>
                <w:kern w:val="15"/>
                <w:sz w:val="16"/>
                <w:szCs w:val="16"/>
              </w:rPr>
            </w:pPr>
            <w:r>
              <w:rPr>
                <w:b/>
                <w:bCs/>
                <w:spacing w:val="-17"/>
                <w:kern w:val="15"/>
                <w:sz w:val="16"/>
                <w:szCs w:val="16"/>
                <w:lang w:bidi="ar"/>
              </w:rPr>
              <w:t>2</w:t>
            </w:r>
            <w:r>
              <w:rPr>
                <w:rFonts w:hint="eastAsia"/>
                <w:b/>
                <w:bCs/>
                <w:spacing w:val="-17"/>
                <w:kern w:val="15"/>
                <w:sz w:val="16"/>
                <w:szCs w:val="16"/>
                <w:lang w:bidi="ar"/>
              </w:rPr>
              <w:t>.000</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0.119</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0.232</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0.336</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0.427</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0.505</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0.571</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0.625</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0.670</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0.706</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0.736</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0.760</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0.780</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0.796</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0.810</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0.821</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Align w:val="center"/>
          </w:tcPr>
          <w:p>
            <w:pPr>
              <w:widowControl/>
              <w:jc w:val="center"/>
              <w:textAlignment w:val="center"/>
              <w:rPr>
                <w:b/>
                <w:bCs/>
                <w:spacing w:val="-17"/>
                <w:kern w:val="15"/>
                <w:sz w:val="16"/>
                <w:szCs w:val="16"/>
              </w:rPr>
            </w:pPr>
            <w:r>
              <w:rPr>
                <w:b/>
                <w:bCs/>
                <w:spacing w:val="-17"/>
                <w:kern w:val="15"/>
                <w:sz w:val="16"/>
                <w:szCs w:val="16"/>
                <w:lang w:bidi="ar"/>
              </w:rPr>
              <w:t>2.125</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0.120</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0.234</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0.338</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0.430</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0.509</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0.575</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0.630</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0.675</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0.711</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0.742</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0.766</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0.787</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0.804</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0.818</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0.829</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Align w:val="center"/>
          </w:tcPr>
          <w:p>
            <w:pPr>
              <w:widowControl/>
              <w:jc w:val="center"/>
              <w:textAlignment w:val="center"/>
              <w:rPr>
                <w:b/>
                <w:bCs/>
                <w:spacing w:val="-17"/>
                <w:kern w:val="15"/>
                <w:sz w:val="16"/>
                <w:szCs w:val="16"/>
              </w:rPr>
            </w:pPr>
            <w:r>
              <w:rPr>
                <w:b/>
                <w:bCs/>
                <w:spacing w:val="-17"/>
                <w:kern w:val="15"/>
                <w:sz w:val="16"/>
                <w:szCs w:val="16"/>
                <w:lang w:bidi="ar"/>
              </w:rPr>
              <w:t>2.25</w:t>
            </w:r>
            <w:r>
              <w:rPr>
                <w:rFonts w:hint="eastAsia"/>
                <w:b/>
                <w:bCs/>
                <w:spacing w:val="-17"/>
                <w:kern w:val="15"/>
                <w:sz w:val="16"/>
                <w:szCs w:val="16"/>
                <w:lang w:bidi="ar"/>
              </w:rPr>
              <w:t>0</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0.120</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0.235</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0.340</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0.432</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0.512</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0.578</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0.634</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0.679</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0.716</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0.747</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0.772</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0.793</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0.810</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0.824</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0.836</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Align w:val="center"/>
          </w:tcPr>
          <w:p>
            <w:pPr>
              <w:widowControl/>
              <w:jc w:val="center"/>
              <w:textAlignment w:val="center"/>
              <w:rPr>
                <w:b/>
                <w:bCs/>
                <w:spacing w:val="-17"/>
                <w:kern w:val="15"/>
                <w:sz w:val="16"/>
                <w:szCs w:val="16"/>
              </w:rPr>
            </w:pPr>
            <w:r>
              <w:rPr>
                <w:b/>
                <w:bCs/>
                <w:spacing w:val="-17"/>
                <w:kern w:val="15"/>
                <w:sz w:val="16"/>
                <w:szCs w:val="16"/>
                <w:lang w:bidi="ar"/>
              </w:rPr>
              <w:t>2.375</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0.121</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0.236</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0.341</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0.434</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0.514</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0.581</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0.637</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0.683</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0.720</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0.751</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0.776</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0.797</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0.815</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0.829</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0.841</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Align w:val="center"/>
          </w:tcPr>
          <w:p>
            <w:pPr>
              <w:widowControl/>
              <w:jc w:val="center"/>
              <w:textAlignment w:val="center"/>
              <w:rPr>
                <w:b/>
                <w:bCs/>
                <w:spacing w:val="-17"/>
                <w:kern w:val="15"/>
                <w:sz w:val="16"/>
                <w:szCs w:val="16"/>
              </w:rPr>
            </w:pPr>
            <w:r>
              <w:rPr>
                <w:b/>
                <w:bCs/>
                <w:spacing w:val="-17"/>
                <w:kern w:val="15"/>
                <w:sz w:val="16"/>
                <w:szCs w:val="16"/>
                <w:lang w:bidi="ar"/>
              </w:rPr>
              <w:t>2.5</w:t>
            </w:r>
            <w:r>
              <w:rPr>
                <w:rFonts w:hint="eastAsia"/>
                <w:b/>
                <w:bCs/>
                <w:spacing w:val="-17"/>
                <w:kern w:val="15"/>
                <w:sz w:val="16"/>
                <w:szCs w:val="16"/>
                <w:lang w:bidi="ar"/>
              </w:rPr>
              <w:t>00</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0.121</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0.237</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0.343</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0.436</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0.516</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0.583</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0.639</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0.686</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0.723</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0.755</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0.780</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0.802</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0.819</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0.834</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0.846</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Align w:val="center"/>
          </w:tcPr>
          <w:p>
            <w:pPr>
              <w:widowControl/>
              <w:jc w:val="center"/>
              <w:textAlignment w:val="center"/>
              <w:rPr>
                <w:b/>
                <w:bCs/>
                <w:spacing w:val="-17"/>
                <w:kern w:val="15"/>
                <w:sz w:val="16"/>
                <w:szCs w:val="16"/>
              </w:rPr>
            </w:pPr>
            <w:r>
              <w:rPr>
                <w:b/>
                <w:bCs/>
                <w:spacing w:val="-17"/>
                <w:kern w:val="15"/>
                <w:sz w:val="16"/>
                <w:szCs w:val="16"/>
                <w:lang w:bidi="ar"/>
              </w:rPr>
              <w:t>2.625</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0.122</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0.238</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0.344</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0.437</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0.518</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0.585</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0.642</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0.688</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0.726</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0.758</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0.784</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0.805</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0.823</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0.838</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0.850</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Align w:val="center"/>
          </w:tcPr>
          <w:p>
            <w:pPr>
              <w:widowControl/>
              <w:jc w:val="center"/>
              <w:textAlignment w:val="center"/>
              <w:rPr>
                <w:b/>
                <w:bCs/>
                <w:spacing w:val="-17"/>
                <w:kern w:val="15"/>
                <w:sz w:val="16"/>
                <w:szCs w:val="16"/>
              </w:rPr>
            </w:pPr>
            <w:r>
              <w:rPr>
                <w:b/>
                <w:bCs/>
                <w:spacing w:val="-17"/>
                <w:kern w:val="15"/>
                <w:sz w:val="16"/>
                <w:szCs w:val="16"/>
                <w:lang w:bidi="ar"/>
              </w:rPr>
              <w:t>2.75</w:t>
            </w:r>
            <w:r>
              <w:rPr>
                <w:rFonts w:hint="eastAsia"/>
                <w:b/>
                <w:bCs/>
                <w:spacing w:val="-17"/>
                <w:kern w:val="15"/>
                <w:sz w:val="16"/>
                <w:szCs w:val="16"/>
                <w:lang w:bidi="ar"/>
              </w:rPr>
              <w:t>0</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0.122</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0.238</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0.345</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0.439</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0.519</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0.587</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0.644</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0.690</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0.729</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0.760</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0.786</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0.808</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0.826</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0.841</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0.854</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Align w:val="center"/>
          </w:tcPr>
          <w:p>
            <w:pPr>
              <w:widowControl/>
              <w:jc w:val="center"/>
              <w:textAlignment w:val="center"/>
              <w:rPr>
                <w:b/>
                <w:bCs/>
                <w:spacing w:val="-17"/>
                <w:kern w:val="15"/>
                <w:sz w:val="16"/>
                <w:szCs w:val="16"/>
              </w:rPr>
            </w:pPr>
            <w:r>
              <w:rPr>
                <w:b/>
                <w:bCs/>
                <w:spacing w:val="-17"/>
                <w:kern w:val="15"/>
                <w:sz w:val="16"/>
                <w:szCs w:val="16"/>
                <w:lang w:bidi="ar"/>
              </w:rPr>
              <w:t>2.875</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0.122</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0.239</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0.345</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0.440</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0.520</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0.589</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0.645</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0.692</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0.731</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0.763</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0.789</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0.811</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0.829</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0.844</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0.857</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Align w:val="center"/>
          </w:tcPr>
          <w:p>
            <w:pPr>
              <w:widowControl/>
              <w:jc w:val="center"/>
              <w:textAlignment w:val="center"/>
              <w:rPr>
                <w:b/>
                <w:bCs/>
                <w:spacing w:val="-17"/>
                <w:kern w:val="15"/>
                <w:sz w:val="16"/>
                <w:szCs w:val="16"/>
              </w:rPr>
            </w:pPr>
            <w:r>
              <w:rPr>
                <w:b/>
                <w:bCs/>
                <w:spacing w:val="-17"/>
                <w:kern w:val="15"/>
                <w:sz w:val="16"/>
                <w:szCs w:val="16"/>
                <w:lang w:bidi="ar"/>
              </w:rPr>
              <w:t>3</w:t>
            </w:r>
            <w:r>
              <w:rPr>
                <w:rFonts w:hint="eastAsia"/>
                <w:b/>
                <w:bCs/>
                <w:spacing w:val="-17"/>
                <w:kern w:val="15"/>
                <w:sz w:val="16"/>
                <w:szCs w:val="16"/>
                <w:lang w:bidi="ar"/>
              </w:rPr>
              <w:t>.000</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0.122</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0.239</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0.346</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0.440</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0.521</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0.590</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0.647</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0.694</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0.733</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0.765</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0.791</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0.813</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0.831</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0.847</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0.859</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Align w:val="center"/>
          </w:tcPr>
          <w:p>
            <w:pPr>
              <w:widowControl/>
              <w:jc w:val="center"/>
              <w:textAlignment w:val="center"/>
              <w:rPr>
                <w:b/>
                <w:bCs/>
                <w:spacing w:val="-17"/>
                <w:kern w:val="15"/>
                <w:sz w:val="16"/>
                <w:szCs w:val="16"/>
              </w:rPr>
            </w:pPr>
            <w:r>
              <w:rPr>
                <w:b/>
                <w:bCs/>
                <w:spacing w:val="-17"/>
                <w:kern w:val="15"/>
                <w:sz w:val="16"/>
                <w:szCs w:val="16"/>
                <w:lang w:bidi="ar"/>
              </w:rPr>
              <w:t>3.125</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0.122</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0.239</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0.347</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0.441</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0.522</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0.591</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0.648</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0.695</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0.734</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0.766</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0.793</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0.815</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0.833</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0.849</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0.862</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Align w:val="center"/>
          </w:tcPr>
          <w:p>
            <w:pPr>
              <w:widowControl/>
              <w:jc w:val="center"/>
              <w:textAlignment w:val="center"/>
              <w:rPr>
                <w:b/>
                <w:bCs/>
                <w:spacing w:val="-17"/>
                <w:kern w:val="15"/>
                <w:sz w:val="16"/>
                <w:szCs w:val="16"/>
              </w:rPr>
            </w:pPr>
            <w:r>
              <w:rPr>
                <w:b/>
                <w:bCs/>
                <w:spacing w:val="-17"/>
                <w:kern w:val="15"/>
                <w:sz w:val="16"/>
                <w:szCs w:val="16"/>
                <w:lang w:bidi="ar"/>
              </w:rPr>
              <w:t>3.25</w:t>
            </w:r>
            <w:r>
              <w:rPr>
                <w:rFonts w:hint="eastAsia"/>
                <w:b/>
                <w:bCs/>
                <w:spacing w:val="-17"/>
                <w:kern w:val="15"/>
                <w:sz w:val="16"/>
                <w:szCs w:val="16"/>
                <w:lang w:bidi="ar"/>
              </w:rPr>
              <w:t>0</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0.123</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0.240</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0.347</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0.442</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0.523</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0.592</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0.649</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0.696</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0.735</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0.768</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0.794</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0.817</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0.835</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0.851</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0.864</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Align w:val="center"/>
          </w:tcPr>
          <w:p>
            <w:pPr>
              <w:widowControl/>
              <w:jc w:val="center"/>
              <w:textAlignment w:val="center"/>
              <w:rPr>
                <w:b/>
                <w:bCs/>
                <w:spacing w:val="-17"/>
                <w:kern w:val="15"/>
                <w:sz w:val="16"/>
                <w:szCs w:val="16"/>
              </w:rPr>
            </w:pPr>
            <w:r>
              <w:rPr>
                <w:b/>
                <w:bCs/>
                <w:spacing w:val="-17"/>
                <w:kern w:val="15"/>
                <w:sz w:val="16"/>
                <w:szCs w:val="16"/>
                <w:lang w:bidi="ar"/>
              </w:rPr>
              <w:t>3.375</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0.123</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0.240</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0.347</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0.442</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0.524</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0.593</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0.650</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0.697</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0.737</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0.769</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0.796</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0.818</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0.837</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0.852</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0.865</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Align w:val="center"/>
          </w:tcPr>
          <w:p>
            <w:pPr>
              <w:widowControl/>
              <w:jc w:val="center"/>
              <w:textAlignment w:val="center"/>
              <w:rPr>
                <w:b/>
                <w:bCs/>
                <w:spacing w:val="-17"/>
                <w:kern w:val="15"/>
                <w:sz w:val="16"/>
                <w:szCs w:val="16"/>
              </w:rPr>
            </w:pPr>
            <w:r>
              <w:rPr>
                <w:b/>
                <w:bCs/>
                <w:spacing w:val="-17"/>
                <w:kern w:val="15"/>
                <w:sz w:val="16"/>
                <w:szCs w:val="16"/>
                <w:lang w:bidi="ar"/>
              </w:rPr>
              <w:t>3.5</w:t>
            </w:r>
            <w:r>
              <w:rPr>
                <w:rFonts w:hint="eastAsia"/>
                <w:b/>
                <w:bCs/>
                <w:spacing w:val="-17"/>
                <w:kern w:val="15"/>
                <w:sz w:val="16"/>
                <w:szCs w:val="16"/>
                <w:lang w:bidi="ar"/>
              </w:rPr>
              <w:t>00</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0.123</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0.240</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0.348</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0.443</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0.524</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0.593</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0.651</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0.698</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0.738</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0.770</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0.797</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0.819</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0.838</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0.854</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0.867</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Align w:val="center"/>
          </w:tcPr>
          <w:p>
            <w:pPr>
              <w:widowControl/>
              <w:jc w:val="center"/>
              <w:textAlignment w:val="center"/>
              <w:rPr>
                <w:b/>
                <w:bCs/>
                <w:spacing w:val="-17"/>
                <w:kern w:val="15"/>
                <w:sz w:val="16"/>
                <w:szCs w:val="16"/>
              </w:rPr>
            </w:pPr>
            <w:r>
              <w:rPr>
                <w:b/>
                <w:bCs/>
                <w:spacing w:val="-17"/>
                <w:kern w:val="15"/>
                <w:sz w:val="16"/>
                <w:szCs w:val="16"/>
                <w:lang w:bidi="ar"/>
              </w:rPr>
              <w:t>3.625</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0.123</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0.240</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0.348</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0.443</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0.525</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0.594</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0.652</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0.699</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0.739</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0.771</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0.798</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0.821</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0.839</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0.855</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0.868</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Align w:val="center"/>
          </w:tcPr>
          <w:p>
            <w:pPr>
              <w:widowControl/>
              <w:jc w:val="center"/>
              <w:textAlignment w:val="center"/>
              <w:rPr>
                <w:b/>
                <w:bCs/>
                <w:spacing w:val="-17"/>
                <w:kern w:val="15"/>
                <w:sz w:val="16"/>
                <w:szCs w:val="16"/>
              </w:rPr>
            </w:pPr>
            <w:r>
              <w:rPr>
                <w:b/>
                <w:bCs/>
                <w:spacing w:val="-17"/>
                <w:kern w:val="15"/>
                <w:sz w:val="16"/>
                <w:szCs w:val="16"/>
                <w:lang w:bidi="ar"/>
              </w:rPr>
              <w:t>3.75</w:t>
            </w:r>
            <w:r>
              <w:rPr>
                <w:rFonts w:hint="eastAsia"/>
                <w:b/>
                <w:bCs/>
                <w:spacing w:val="-17"/>
                <w:kern w:val="15"/>
                <w:sz w:val="16"/>
                <w:szCs w:val="16"/>
                <w:lang w:bidi="ar"/>
              </w:rPr>
              <w:t>0</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0.123</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0.241</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0.348</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0.444</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0.525</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0.595</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0.652</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0.700</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0.739</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0.772</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0.799</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0.822</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0.840</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0.856</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0.870</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Align w:val="center"/>
          </w:tcPr>
          <w:p>
            <w:pPr>
              <w:widowControl/>
              <w:jc w:val="center"/>
              <w:textAlignment w:val="center"/>
              <w:rPr>
                <w:b/>
                <w:bCs/>
                <w:spacing w:val="-17"/>
                <w:kern w:val="15"/>
                <w:sz w:val="16"/>
                <w:szCs w:val="16"/>
              </w:rPr>
            </w:pPr>
            <w:r>
              <w:rPr>
                <w:b/>
                <w:bCs/>
                <w:spacing w:val="-17"/>
                <w:kern w:val="15"/>
                <w:sz w:val="16"/>
                <w:szCs w:val="16"/>
                <w:lang w:bidi="ar"/>
              </w:rPr>
              <w:t>3.875</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0.123</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0.241</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0.349</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0.444</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0.526</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0.595</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0.653</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0.701</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0.740</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0.773</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0.800</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0.822</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0.841</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0.857</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0.871</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Align w:val="center"/>
          </w:tcPr>
          <w:p>
            <w:pPr>
              <w:widowControl/>
              <w:jc w:val="center"/>
              <w:textAlignment w:val="center"/>
              <w:rPr>
                <w:b/>
                <w:bCs/>
                <w:spacing w:val="-17"/>
                <w:kern w:val="15"/>
                <w:sz w:val="16"/>
                <w:szCs w:val="16"/>
              </w:rPr>
            </w:pPr>
            <w:r>
              <w:rPr>
                <w:b/>
                <w:bCs/>
                <w:spacing w:val="-17"/>
                <w:kern w:val="15"/>
                <w:sz w:val="16"/>
                <w:szCs w:val="16"/>
                <w:lang w:bidi="ar"/>
              </w:rPr>
              <w:t>4</w:t>
            </w:r>
            <w:r>
              <w:rPr>
                <w:rFonts w:hint="eastAsia"/>
                <w:b/>
                <w:bCs/>
                <w:spacing w:val="-17"/>
                <w:kern w:val="15"/>
                <w:sz w:val="16"/>
                <w:szCs w:val="16"/>
                <w:lang w:bidi="ar"/>
              </w:rPr>
              <w:t>.000</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0.123</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0.241</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0.349</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0.444</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0.526</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0.595</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0.653</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0.701</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0.741</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0.773</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0.801</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0.823</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0.842</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0.858</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0.872</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Align w:val="center"/>
          </w:tcPr>
          <w:p>
            <w:pPr>
              <w:widowControl/>
              <w:jc w:val="center"/>
              <w:textAlignment w:val="center"/>
              <w:rPr>
                <w:b/>
                <w:bCs/>
                <w:spacing w:val="-17"/>
                <w:kern w:val="15"/>
                <w:sz w:val="16"/>
                <w:szCs w:val="16"/>
              </w:rPr>
            </w:pPr>
            <w:r>
              <w:rPr>
                <w:b/>
                <w:bCs/>
                <w:spacing w:val="-17"/>
                <w:kern w:val="15"/>
                <w:sz w:val="16"/>
                <w:szCs w:val="16"/>
                <w:lang w:bidi="ar"/>
              </w:rPr>
              <w:t>4.125</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0.123</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0.241</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0.349</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0.444</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0.527</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0.596</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0.654</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0.702</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0.741</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0.774</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0.801</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0.824</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0.843</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0.859</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0.873</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Align w:val="center"/>
          </w:tcPr>
          <w:p>
            <w:pPr>
              <w:widowControl/>
              <w:jc w:val="center"/>
              <w:textAlignment w:val="center"/>
              <w:rPr>
                <w:b/>
                <w:bCs/>
                <w:spacing w:val="-17"/>
                <w:kern w:val="15"/>
                <w:sz w:val="16"/>
                <w:szCs w:val="16"/>
              </w:rPr>
            </w:pPr>
            <w:r>
              <w:rPr>
                <w:b/>
                <w:bCs/>
                <w:spacing w:val="-17"/>
                <w:kern w:val="15"/>
                <w:sz w:val="16"/>
                <w:szCs w:val="16"/>
                <w:lang w:bidi="ar"/>
              </w:rPr>
              <w:t>4.25</w:t>
            </w:r>
            <w:r>
              <w:rPr>
                <w:rFonts w:hint="eastAsia"/>
                <w:b/>
                <w:bCs/>
                <w:spacing w:val="-17"/>
                <w:kern w:val="15"/>
                <w:sz w:val="16"/>
                <w:szCs w:val="16"/>
                <w:lang w:bidi="ar"/>
              </w:rPr>
              <w:t>0</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0.123</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0.241</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0.349</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0.445</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0.527</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0.596</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0.654</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0.702</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0.742</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0.775</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0.802</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0.825</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0.844</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0.860</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0.873</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Align w:val="center"/>
          </w:tcPr>
          <w:p>
            <w:pPr>
              <w:widowControl/>
              <w:jc w:val="center"/>
              <w:textAlignment w:val="center"/>
              <w:rPr>
                <w:b/>
                <w:bCs/>
                <w:spacing w:val="-17"/>
                <w:kern w:val="15"/>
                <w:sz w:val="16"/>
                <w:szCs w:val="16"/>
              </w:rPr>
            </w:pPr>
            <w:r>
              <w:rPr>
                <w:b/>
                <w:bCs/>
                <w:spacing w:val="-17"/>
                <w:kern w:val="15"/>
                <w:sz w:val="16"/>
                <w:szCs w:val="16"/>
                <w:lang w:bidi="ar"/>
              </w:rPr>
              <w:t>4.375</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0.123</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0.241</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0.349</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0.445</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0.527</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0.596</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0.654</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0.702</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0.742</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0.775</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0.802</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0.825</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0.844</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0.860</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0.874</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Align w:val="center"/>
          </w:tcPr>
          <w:p>
            <w:pPr>
              <w:widowControl/>
              <w:jc w:val="center"/>
              <w:textAlignment w:val="center"/>
              <w:rPr>
                <w:b/>
                <w:bCs/>
                <w:spacing w:val="-17"/>
                <w:kern w:val="15"/>
                <w:sz w:val="16"/>
                <w:szCs w:val="16"/>
              </w:rPr>
            </w:pPr>
            <w:r>
              <w:rPr>
                <w:b/>
                <w:bCs/>
                <w:spacing w:val="-17"/>
                <w:kern w:val="15"/>
                <w:sz w:val="16"/>
                <w:szCs w:val="16"/>
                <w:lang w:bidi="ar"/>
              </w:rPr>
              <w:t>4.5</w:t>
            </w:r>
            <w:r>
              <w:rPr>
                <w:rFonts w:hint="eastAsia"/>
                <w:b/>
                <w:bCs/>
                <w:spacing w:val="-17"/>
                <w:kern w:val="15"/>
                <w:sz w:val="16"/>
                <w:szCs w:val="16"/>
                <w:lang w:bidi="ar"/>
              </w:rPr>
              <w:t>00</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0.123</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0.241</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0.349</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0.445</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0.527</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0.597</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0.655</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0.703</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0.743</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0.776</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0.803</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0.826</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0.845</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0.861</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0.875</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Align w:val="center"/>
          </w:tcPr>
          <w:p>
            <w:pPr>
              <w:widowControl/>
              <w:jc w:val="center"/>
              <w:textAlignment w:val="center"/>
              <w:rPr>
                <w:b/>
                <w:bCs/>
                <w:spacing w:val="-17"/>
                <w:kern w:val="15"/>
                <w:sz w:val="16"/>
                <w:szCs w:val="16"/>
              </w:rPr>
            </w:pPr>
            <w:r>
              <w:rPr>
                <w:b/>
                <w:bCs/>
                <w:spacing w:val="-17"/>
                <w:kern w:val="15"/>
                <w:sz w:val="16"/>
                <w:szCs w:val="16"/>
                <w:lang w:bidi="ar"/>
              </w:rPr>
              <w:t>4.625</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0.124</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0.242</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0.350</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0.445</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0.527</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0.597</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0.655</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0.703</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0.743</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0.776</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0.803</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0.826</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0.845</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0.861</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0.875</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Align w:val="center"/>
          </w:tcPr>
          <w:p>
            <w:pPr>
              <w:widowControl/>
              <w:jc w:val="center"/>
              <w:textAlignment w:val="center"/>
              <w:rPr>
                <w:b/>
                <w:bCs/>
                <w:spacing w:val="-17"/>
                <w:kern w:val="15"/>
                <w:sz w:val="16"/>
                <w:szCs w:val="16"/>
              </w:rPr>
            </w:pPr>
            <w:r>
              <w:rPr>
                <w:b/>
                <w:bCs/>
                <w:spacing w:val="-17"/>
                <w:kern w:val="15"/>
                <w:sz w:val="16"/>
                <w:szCs w:val="16"/>
                <w:lang w:bidi="ar"/>
              </w:rPr>
              <w:t>4.75</w:t>
            </w:r>
            <w:r>
              <w:rPr>
                <w:rFonts w:hint="eastAsia"/>
                <w:b/>
                <w:bCs/>
                <w:spacing w:val="-17"/>
                <w:kern w:val="15"/>
                <w:sz w:val="16"/>
                <w:szCs w:val="16"/>
                <w:lang w:bidi="ar"/>
              </w:rPr>
              <w:t>0</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0.124</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0.242</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0.350</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0.445</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0.528</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0.597</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0.655</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0.703</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0.743</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0.776</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0.804</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0.827</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0.846</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0.862</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0.876</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Align w:val="center"/>
          </w:tcPr>
          <w:p>
            <w:pPr>
              <w:widowControl/>
              <w:jc w:val="center"/>
              <w:textAlignment w:val="center"/>
              <w:rPr>
                <w:b/>
                <w:bCs/>
                <w:spacing w:val="-17"/>
                <w:kern w:val="15"/>
                <w:sz w:val="16"/>
                <w:szCs w:val="16"/>
              </w:rPr>
            </w:pPr>
            <w:r>
              <w:rPr>
                <w:b/>
                <w:bCs/>
                <w:spacing w:val="-17"/>
                <w:kern w:val="15"/>
                <w:sz w:val="16"/>
                <w:szCs w:val="16"/>
                <w:lang w:bidi="ar"/>
              </w:rPr>
              <w:t>4.875</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0.124</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0.242</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0.350</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0.445</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0.528</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0.597</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0.655</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0.704</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0.744</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0.777</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0.804</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0.827</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0.846</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0.862</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0.876</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Align w:val="center"/>
          </w:tcPr>
          <w:p>
            <w:pPr>
              <w:widowControl/>
              <w:jc w:val="center"/>
              <w:textAlignment w:val="center"/>
              <w:rPr>
                <w:b/>
                <w:bCs/>
                <w:spacing w:val="-17"/>
                <w:kern w:val="15"/>
                <w:sz w:val="16"/>
                <w:szCs w:val="16"/>
              </w:rPr>
            </w:pPr>
            <w:r>
              <w:rPr>
                <w:b/>
                <w:bCs/>
                <w:spacing w:val="-17"/>
                <w:kern w:val="15"/>
                <w:sz w:val="16"/>
                <w:szCs w:val="16"/>
                <w:lang w:bidi="ar"/>
              </w:rPr>
              <w:t>5</w:t>
            </w:r>
            <w:r>
              <w:rPr>
                <w:rFonts w:hint="eastAsia"/>
                <w:b/>
                <w:bCs/>
                <w:spacing w:val="-17"/>
                <w:kern w:val="15"/>
                <w:sz w:val="16"/>
                <w:szCs w:val="16"/>
                <w:lang w:bidi="ar"/>
              </w:rPr>
              <w:t>.000</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0.124</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0.242</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0.350</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0.446</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0.528</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0.598</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0.656</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0.704</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0.744</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0.777</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0.804</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0.827</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0.847</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0.863</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0.877</w:t>
            </w:r>
          </w:p>
        </w:tc>
        <w:tc>
          <w:tcPr>
            <w:tcW w:w="294" w:type="pct"/>
            <w:vAlign w:val="center"/>
          </w:tcPr>
          <w:p>
            <w:pPr>
              <w:widowControl/>
              <w:jc w:val="center"/>
              <w:textAlignment w:val="center"/>
              <w:rPr>
                <w:bCs/>
                <w:spacing w:val="-17"/>
                <w:kern w:val="15"/>
                <w:sz w:val="16"/>
                <w:szCs w:val="16"/>
              </w:rPr>
            </w:pPr>
            <w:r>
              <w:rPr>
                <w:spacing w:val="-17"/>
                <w:kern w:val="15"/>
                <w:sz w:val="16"/>
                <w:szCs w:val="16"/>
                <w:lang w:bidi="ar"/>
              </w:rPr>
              <w:t>0.888</w:t>
            </w:r>
          </w:p>
        </w:tc>
      </w:tr>
    </w:tbl>
    <w:p>
      <w:pPr>
        <w:tabs>
          <w:tab w:val="left" w:pos="312"/>
        </w:tabs>
        <w:rPr>
          <w:bCs/>
          <w:sz w:val="18"/>
          <w:szCs w:val="18"/>
        </w:rPr>
      </w:pPr>
      <w:r>
        <w:rPr>
          <w:bCs/>
          <w:sz w:val="18"/>
          <w:szCs w:val="18"/>
        </w:rPr>
        <w:t>*备注：表中X=</w:t>
      </w:r>
      <w:r>
        <w:rPr>
          <w:rFonts w:hint="eastAsia"/>
          <w:bCs/>
          <w:sz w:val="18"/>
          <w:szCs w:val="18"/>
        </w:rPr>
        <w:t>A</w:t>
      </w:r>
      <w:r>
        <w:rPr>
          <w:bCs/>
          <w:sz w:val="18"/>
          <w:szCs w:val="18"/>
        </w:rPr>
        <w:t>/2</w:t>
      </w:r>
      <w:r>
        <w:rPr>
          <w:rFonts w:hint="eastAsia"/>
          <w:bCs/>
          <w:sz w:val="18"/>
          <w:szCs w:val="18"/>
        </w:rPr>
        <w:t>C</w:t>
      </w:r>
      <w:r>
        <w:rPr>
          <w:bCs/>
          <w:sz w:val="18"/>
          <w:szCs w:val="18"/>
        </w:rPr>
        <w:t>，Y=</w:t>
      </w:r>
      <w:r>
        <w:rPr>
          <w:rFonts w:hint="eastAsia"/>
          <w:bCs/>
          <w:sz w:val="18"/>
          <w:szCs w:val="18"/>
        </w:rPr>
        <w:t>B</w:t>
      </w:r>
      <w:r>
        <w:rPr>
          <w:bCs/>
          <w:sz w:val="18"/>
          <w:szCs w:val="18"/>
        </w:rPr>
        <w:t>/2</w:t>
      </w:r>
      <w:r>
        <w:rPr>
          <w:rFonts w:hint="eastAsia"/>
          <w:bCs/>
          <w:sz w:val="18"/>
          <w:szCs w:val="18"/>
        </w:rPr>
        <w:t>C</w:t>
      </w:r>
      <w:r>
        <w:rPr>
          <w:bCs/>
          <w:sz w:val="18"/>
          <w:szCs w:val="18"/>
        </w:rPr>
        <w:t>；其中</w:t>
      </w:r>
      <w:r>
        <w:rPr>
          <w:rFonts w:hint="eastAsia"/>
          <w:bCs/>
          <w:sz w:val="18"/>
          <w:szCs w:val="18"/>
        </w:rPr>
        <w:t>A</w:t>
      </w:r>
      <w:r>
        <w:rPr>
          <w:bCs/>
          <w:sz w:val="18"/>
          <w:szCs w:val="18"/>
        </w:rPr>
        <w:t>为外墙宽度(m)，</w:t>
      </w:r>
      <w:r>
        <w:rPr>
          <w:rFonts w:hint="eastAsia"/>
          <w:bCs/>
          <w:sz w:val="18"/>
          <w:szCs w:val="18"/>
        </w:rPr>
        <w:t>B</w:t>
      </w:r>
      <w:r>
        <w:rPr>
          <w:bCs/>
          <w:sz w:val="18"/>
          <w:szCs w:val="18"/>
        </w:rPr>
        <w:t>为外墙高度(m)，</w:t>
      </w:r>
      <w:r>
        <w:rPr>
          <w:rFonts w:hint="eastAsia"/>
          <w:bCs/>
          <w:sz w:val="18"/>
          <w:szCs w:val="18"/>
        </w:rPr>
        <w:t>C</w:t>
      </w:r>
      <w:r>
        <w:rPr>
          <w:bCs/>
          <w:sz w:val="18"/>
          <w:szCs w:val="18"/>
        </w:rPr>
        <w:t>为起火建筑与相邻建筑的间距(m)。对于其他X，Y的取值，</w:t>
      </w:r>
      <w:r>
        <w:rPr>
          <w:bCs/>
          <w:i/>
          <w:iCs/>
          <w:sz w:val="18"/>
          <w:szCs w:val="18"/>
        </w:rPr>
        <w:t>φ</w:t>
      </w:r>
      <w:r>
        <w:rPr>
          <w:bCs/>
          <w:sz w:val="18"/>
          <w:szCs w:val="18"/>
        </w:rPr>
        <w:t>可通过表</w:t>
      </w:r>
      <w:r>
        <w:rPr>
          <w:rFonts w:hint="eastAsia"/>
          <w:bCs/>
          <w:sz w:val="18"/>
          <w:szCs w:val="18"/>
        </w:rPr>
        <w:t>C.1</w:t>
      </w:r>
      <w:r>
        <w:rPr>
          <w:bCs/>
          <w:sz w:val="18"/>
          <w:szCs w:val="18"/>
        </w:rPr>
        <w:t>进行插值计算。</w:t>
      </w:r>
    </w:p>
    <w:p>
      <w:pPr>
        <w:numPr>
          <w:ilvl w:val="0"/>
          <w:numId w:val="2"/>
        </w:numPr>
        <w:spacing w:line="360" w:lineRule="auto"/>
        <w:rPr>
          <w:b/>
          <w:sz w:val="24"/>
        </w:rPr>
      </w:pPr>
      <w:r>
        <w:rPr>
          <w:rFonts w:hint="eastAsia"/>
          <w:b/>
          <w:sz w:val="24"/>
        </w:rPr>
        <w:t>辐射源强度</w:t>
      </w:r>
      <w:r>
        <w:rPr>
          <w:b/>
          <w:i/>
          <w:iCs/>
          <w:sz w:val="24"/>
        </w:rPr>
        <w:t>I</w:t>
      </w:r>
      <w:r>
        <w:rPr>
          <w:b/>
          <w:sz w:val="24"/>
          <w:vertAlign w:val="subscript"/>
        </w:rPr>
        <w:t>0</w:t>
      </w:r>
      <w:r>
        <w:rPr>
          <w:rFonts w:hint="eastAsia"/>
          <w:b/>
          <w:sz w:val="24"/>
        </w:rPr>
        <w:t>按附表C.2取值</w:t>
      </w:r>
    </w:p>
    <w:p>
      <w:pPr>
        <w:jc w:val="center"/>
      </w:pPr>
      <w:r>
        <w:t>附表C.2 辐射源强度</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restart"/>
          </w:tcPr>
          <w:p>
            <w:pPr>
              <w:spacing w:line="360" w:lineRule="auto"/>
              <w:jc w:val="center"/>
              <w:rPr>
                <w:rFonts w:ascii="宋体" w:hAnsi="宋体" w:cs="宋体"/>
                <w:bCs/>
                <w:szCs w:val="21"/>
              </w:rPr>
            </w:pPr>
            <w:r>
              <w:rPr>
                <w:rFonts w:hint="eastAsia" w:ascii="宋体" w:hAnsi="宋体" w:cs="宋体"/>
                <w:bCs/>
                <w:szCs w:val="21"/>
              </w:rPr>
              <w:t>建筑耐火等级</w:t>
            </w:r>
          </w:p>
        </w:tc>
        <w:tc>
          <w:tcPr>
            <w:tcW w:w="5682" w:type="dxa"/>
            <w:gridSpan w:val="2"/>
          </w:tcPr>
          <w:p>
            <w:pPr>
              <w:spacing w:line="360" w:lineRule="auto"/>
              <w:jc w:val="center"/>
              <w:rPr>
                <w:rFonts w:ascii="宋体" w:hAnsi="宋体" w:cs="宋体"/>
                <w:bCs/>
                <w:szCs w:val="21"/>
              </w:rPr>
            </w:pPr>
            <w:r>
              <w:rPr>
                <w:bCs/>
                <w:i/>
                <w:iCs/>
                <w:szCs w:val="21"/>
              </w:rPr>
              <w:t>I</w:t>
            </w:r>
            <w:r>
              <w:rPr>
                <w:bCs/>
                <w:szCs w:val="21"/>
                <w:vertAlign w:val="subscript"/>
              </w:rPr>
              <w:t>0</w:t>
            </w:r>
            <w:r>
              <w:rPr>
                <w:rFonts w:hint="eastAsia" w:ascii="宋体" w:hAnsi="宋体" w:cs="宋体"/>
                <w:bCs/>
                <w:szCs w:val="21"/>
              </w:rPr>
              <w:t>(</w:t>
            </w:r>
            <w:r>
              <w:rPr>
                <w:bCs/>
                <w:szCs w:val="21"/>
              </w:rPr>
              <w:t>kW/m</w:t>
            </w:r>
            <w:r>
              <w:rPr>
                <w:bCs/>
                <w:szCs w:val="21"/>
                <w:vertAlign w:val="superscript"/>
              </w:rPr>
              <w:t>2</w:t>
            </w:r>
            <w:r>
              <w:rPr>
                <w:rFonts w:hint="eastAsia" w:ascii="宋体" w:hAnsi="宋体" w:cs="宋体"/>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continue"/>
          </w:tcPr>
          <w:p>
            <w:pPr>
              <w:spacing w:line="360" w:lineRule="auto"/>
              <w:rPr>
                <w:rFonts w:ascii="宋体" w:hAnsi="宋体" w:cs="宋体"/>
                <w:bCs/>
                <w:szCs w:val="21"/>
              </w:rPr>
            </w:pPr>
          </w:p>
        </w:tc>
        <w:tc>
          <w:tcPr>
            <w:tcW w:w="2841" w:type="dxa"/>
          </w:tcPr>
          <w:p>
            <w:pPr>
              <w:spacing w:line="360" w:lineRule="auto"/>
              <w:jc w:val="center"/>
              <w:rPr>
                <w:rFonts w:ascii="宋体" w:hAnsi="宋体" w:cs="宋体"/>
                <w:bCs/>
                <w:szCs w:val="21"/>
              </w:rPr>
            </w:pPr>
            <w:r>
              <w:rPr>
                <w:rFonts w:hint="eastAsia" w:ascii="宋体" w:hAnsi="宋体" w:cs="宋体"/>
                <w:bCs/>
                <w:szCs w:val="21"/>
              </w:rPr>
              <w:t>不设喷淋</w:t>
            </w:r>
          </w:p>
        </w:tc>
        <w:tc>
          <w:tcPr>
            <w:tcW w:w="2841" w:type="dxa"/>
          </w:tcPr>
          <w:p>
            <w:pPr>
              <w:spacing w:line="360" w:lineRule="auto"/>
              <w:jc w:val="center"/>
              <w:rPr>
                <w:rFonts w:ascii="宋体" w:hAnsi="宋体" w:cs="宋体"/>
                <w:bCs/>
                <w:szCs w:val="21"/>
              </w:rPr>
            </w:pPr>
            <w:r>
              <w:rPr>
                <w:rFonts w:hint="eastAsia" w:ascii="宋体" w:hAnsi="宋体" w:cs="宋体"/>
                <w:bCs/>
                <w:szCs w:val="21"/>
              </w:rPr>
              <w:t>设喷淋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spacing w:line="360" w:lineRule="auto"/>
              <w:jc w:val="center"/>
              <w:rPr>
                <w:rFonts w:ascii="宋体" w:hAnsi="宋体" w:cs="宋体"/>
                <w:bCs/>
                <w:szCs w:val="21"/>
              </w:rPr>
            </w:pPr>
            <w:r>
              <w:rPr>
                <w:rFonts w:hint="eastAsia" w:ascii="宋体" w:hAnsi="宋体" w:cs="宋体"/>
                <w:bCs/>
                <w:szCs w:val="21"/>
              </w:rPr>
              <w:t>一二级</w:t>
            </w:r>
          </w:p>
        </w:tc>
        <w:tc>
          <w:tcPr>
            <w:tcW w:w="2841" w:type="dxa"/>
          </w:tcPr>
          <w:p>
            <w:pPr>
              <w:spacing w:line="360" w:lineRule="auto"/>
              <w:jc w:val="center"/>
              <w:rPr>
                <w:rFonts w:ascii="宋体" w:hAnsi="宋体" w:cs="宋体"/>
                <w:bCs/>
                <w:szCs w:val="21"/>
              </w:rPr>
            </w:pPr>
            <w:r>
              <w:rPr>
                <w:rFonts w:hint="eastAsia" w:ascii="宋体" w:hAnsi="宋体" w:cs="宋体"/>
                <w:bCs/>
                <w:szCs w:val="21"/>
              </w:rPr>
              <w:t>40</w:t>
            </w:r>
          </w:p>
        </w:tc>
        <w:tc>
          <w:tcPr>
            <w:tcW w:w="2841" w:type="dxa"/>
          </w:tcPr>
          <w:p>
            <w:pPr>
              <w:spacing w:line="360" w:lineRule="auto"/>
              <w:jc w:val="center"/>
              <w:rPr>
                <w:rFonts w:ascii="宋体" w:hAnsi="宋体" w:cs="宋体"/>
                <w:bCs/>
                <w:szCs w:val="21"/>
              </w:rPr>
            </w:pPr>
            <w:r>
              <w:rPr>
                <w:rFonts w:hint="eastAsia" w:ascii="宋体" w:hAnsi="宋体" w:cs="宋体"/>
                <w:bCs/>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spacing w:line="360" w:lineRule="auto"/>
              <w:jc w:val="center"/>
              <w:rPr>
                <w:rFonts w:ascii="宋体" w:hAnsi="宋体" w:cs="宋体"/>
                <w:bCs/>
                <w:szCs w:val="21"/>
              </w:rPr>
            </w:pPr>
            <w:r>
              <w:rPr>
                <w:rFonts w:hint="eastAsia" w:ascii="宋体" w:hAnsi="宋体" w:cs="宋体"/>
                <w:bCs/>
                <w:szCs w:val="21"/>
              </w:rPr>
              <w:t>三级</w:t>
            </w:r>
          </w:p>
        </w:tc>
        <w:tc>
          <w:tcPr>
            <w:tcW w:w="2841" w:type="dxa"/>
          </w:tcPr>
          <w:p>
            <w:pPr>
              <w:spacing w:line="360" w:lineRule="auto"/>
              <w:jc w:val="center"/>
              <w:rPr>
                <w:rFonts w:ascii="宋体" w:hAnsi="宋体" w:cs="宋体"/>
                <w:bCs/>
                <w:szCs w:val="21"/>
              </w:rPr>
            </w:pPr>
            <w:r>
              <w:rPr>
                <w:rFonts w:hint="eastAsia" w:ascii="宋体" w:hAnsi="宋体" w:cs="宋体"/>
                <w:bCs/>
                <w:szCs w:val="21"/>
              </w:rPr>
              <w:t>80</w:t>
            </w:r>
          </w:p>
        </w:tc>
        <w:tc>
          <w:tcPr>
            <w:tcW w:w="2841" w:type="dxa"/>
          </w:tcPr>
          <w:p>
            <w:pPr>
              <w:spacing w:line="360" w:lineRule="auto"/>
              <w:jc w:val="center"/>
              <w:rPr>
                <w:rFonts w:ascii="宋体" w:hAnsi="宋体" w:cs="宋体"/>
                <w:bCs/>
                <w:szCs w:val="21"/>
              </w:rPr>
            </w:pPr>
            <w:r>
              <w:rPr>
                <w:rFonts w:hint="eastAsia" w:ascii="宋体" w:hAnsi="宋体" w:cs="宋体"/>
                <w:bCs/>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spacing w:line="360" w:lineRule="auto"/>
              <w:jc w:val="center"/>
              <w:rPr>
                <w:rFonts w:ascii="宋体" w:hAnsi="宋体" w:cs="宋体"/>
                <w:bCs/>
                <w:szCs w:val="21"/>
              </w:rPr>
            </w:pPr>
            <w:r>
              <w:rPr>
                <w:rFonts w:hint="eastAsia" w:ascii="宋体" w:hAnsi="宋体" w:cs="宋体"/>
                <w:bCs/>
                <w:szCs w:val="21"/>
              </w:rPr>
              <w:t>四级</w:t>
            </w:r>
          </w:p>
        </w:tc>
        <w:tc>
          <w:tcPr>
            <w:tcW w:w="2841" w:type="dxa"/>
          </w:tcPr>
          <w:p>
            <w:pPr>
              <w:spacing w:line="360" w:lineRule="auto"/>
              <w:jc w:val="center"/>
              <w:rPr>
                <w:rFonts w:ascii="宋体" w:hAnsi="宋体" w:cs="宋体"/>
                <w:bCs/>
                <w:szCs w:val="21"/>
              </w:rPr>
            </w:pPr>
            <w:r>
              <w:rPr>
                <w:rFonts w:hint="eastAsia" w:ascii="宋体" w:hAnsi="宋体" w:cs="宋体"/>
                <w:bCs/>
                <w:szCs w:val="21"/>
              </w:rPr>
              <w:t>160</w:t>
            </w:r>
          </w:p>
        </w:tc>
        <w:tc>
          <w:tcPr>
            <w:tcW w:w="2841" w:type="dxa"/>
          </w:tcPr>
          <w:p>
            <w:pPr>
              <w:spacing w:line="360" w:lineRule="auto"/>
              <w:jc w:val="center"/>
              <w:rPr>
                <w:rFonts w:ascii="宋体" w:hAnsi="宋体" w:cs="宋体"/>
                <w:bCs/>
                <w:szCs w:val="21"/>
              </w:rPr>
            </w:pPr>
            <w:r>
              <w:rPr>
                <w:rFonts w:hint="eastAsia" w:ascii="宋体" w:hAnsi="宋体" w:cs="宋体"/>
                <w:bCs/>
                <w:szCs w:val="21"/>
              </w:rPr>
              <w:t>40</w:t>
            </w:r>
          </w:p>
        </w:tc>
      </w:tr>
    </w:tbl>
    <w:p>
      <w:pPr>
        <w:rPr>
          <w:rFonts w:ascii="黑体" w:hAnsi="黑体" w:eastAsia="黑体" w:cs="黑体"/>
          <w:b/>
          <w:sz w:val="24"/>
        </w:rPr>
      </w:pPr>
      <w:r>
        <w:rPr>
          <w:rFonts w:hint="eastAsia" w:ascii="黑体" w:hAnsi="黑体" w:eastAsia="黑体" w:cs="黑体"/>
          <w:b/>
          <w:sz w:val="24"/>
        </w:rPr>
        <w:br w:type="page"/>
      </w:r>
    </w:p>
    <w:p>
      <w:pPr>
        <w:pStyle w:val="2"/>
        <w:rPr>
          <w:sz w:val="32"/>
          <w:szCs w:val="32"/>
        </w:rPr>
      </w:pPr>
      <w:bookmarkStart w:id="30" w:name="_Toc21604"/>
      <w:r>
        <w:rPr>
          <w:rFonts w:hint="eastAsia"/>
          <w:sz w:val="32"/>
          <w:szCs w:val="32"/>
        </w:rPr>
        <w:t>附图D 丽江古城火灾蔓延分级</w:t>
      </w:r>
      <w:bookmarkEnd w:id="30"/>
    </w:p>
    <w:p>
      <w:pPr>
        <w:spacing w:line="360" w:lineRule="auto"/>
        <w:rPr>
          <w:rFonts w:ascii="黑体" w:hAnsi="黑体" w:eastAsia="黑体" w:cs="黑体"/>
          <w:b/>
          <w:sz w:val="24"/>
        </w:rPr>
      </w:pPr>
      <w:r>
        <w:rPr>
          <w:rFonts w:hint="eastAsia"/>
        </w:rPr>
        <w:drawing>
          <wp:inline distT="0" distB="0" distL="114300" distR="114300">
            <wp:extent cx="6022340" cy="5053965"/>
            <wp:effectExtent l="0" t="0" r="12700" b="5715"/>
            <wp:docPr id="13" name="图片 13" descr="大研风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大研风险"/>
                    <pic:cNvPicPr>
                      <a:picLocks noChangeAspect="1"/>
                    </pic:cNvPicPr>
                  </pic:nvPicPr>
                  <pic:blipFill>
                    <a:blip r:embed="rId7"/>
                    <a:stretch>
                      <a:fillRect/>
                    </a:stretch>
                  </pic:blipFill>
                  <pic:spPr>
                    <a:xfrm>
                      <a:off x="0" y="0"/>
                      <a:ext cx="6022340" cy="5053965"/>
                    </a:xfrm>
                    <a:prstGeom prst="rect">
                      <a:avLst/>
                    </a:prstGeom>
                  </pic:spPr>
                </pic:pic>
              </a:graphicData>
            </a:graphic>
          </wp:inline>
        </w:drawing>
      </w:r>
    </w:p>
    <w:p>
      <w:pPr>
        <w:spacing w:line="360" w:lineRule="auto"/>
        <w:rPr>
          <w:b/>
          <w:sz w:val="28"/>
          <w:szCs w:val="28"/>
        </w:rPr>
      </w:pPr>
    </w:p>
    <w:p>
      <w:pPr>
        <w:spacing w:line="360" w:lineRule="auto"/>
        <w:jc w:val="center"/>
        <w:rPr>
          <w:b/>
          <w:sz w:val="24"/>
        </w:rPr>
      </w:pPr>
      <w:r>
        <w:rPr>
          <w:rFonts w:hint="eastAsia"/>
          <w:b/>
          <w:sz w:val="24"/>
        </w:rPr>
        <w:t>D01a大研街区火灾蔓延风险分级</w:t>
      </w:r>
    </w:p>
    <w:p>
      <w:pPr>
        <w:rPr>
          <w:b/>
          <w:sz w:val="24"/>
        </w:rPr>
      </w:pPr>
      <w:r>
        <w:rPr>
          <w:rFonts w:hint="eastAsia"/>
          <w:b/>
          <w:sz w:val="24"/>
        </w:rPr>
        <w:br w:type="page"/>
      </w:r>
    </w:p>
    <w:p>
      <w:pPr>
        <w:spacing w:line="360" w:lineRule="auto"/>
        <w:jc w:val="center"/>
        <w:rPr>
          <w:b/>
          <w:sz w:val="24"/>
        </w:rPr>
      </w:pPr>
      <w:r>
        <w:rPr>
          <w:rFonts w:hint="eastAsia" w:eastAsiaTheme="minorEastAsia"/>
        </w:rPr>
        <w:drawing>
          <wp:inline distT="0" distB="0" distL="114300" distR="114300">
            <wp:extent cx="4716780" cy="5267960"/>
            <wp:effectExtent l="0" t="0" r="7620" b="5080"/>
            <wp:docPr id="7" name="图片 7" descr="大研道路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大研道路1"/>
                    <pic:cNvPicPr>
                      <a:picLocks noChangeAspect="1"/>
                    </pic:cNvPicPr>
                  </pic:nvPicPr>
                  <pic:blipFill>
                    <a:blip r:embed="rId8"/>
                    <a:stretch>
                      <a:fillRect/>
                    </a:stretch>
                  </pic:blipFill>
                  <pic:spPr>
                    <a:xfrm>
                      <a:off x="0" y="0"/>
                      <a:ext cx="4716780" cy="5267960"/>
                    </a:xfrm>
                    <a:prstGeom prst="rect">
                      <a:avLst/>
                    </a:prstGeom>
                  </pic:spPr>
                </pic:pic>
              </a:graphicData>
            </a:graphic>
          </wp:inline>
        </w:drawing>
      </w:r>
    </w:p>
    <w:p>
      <w:pPr>
        <w:spacing w:line="360" w:lineRule="auto"/>
        <w:jc w:val="center"/>
        <w:rPr>
          <w:b/>
          <w:sz w:val="24"/>
        </w:rPr>
      </w:pPr>
      <w:r>
        <w:rPr>
          <w:rFonts w:hint="eastAsia"/>
          <w:b/>
          <w:sz w:val="24"/>
        </w:rPr>
        <w:t>D01b大研街区路网图</w:t>
      </w:r>
    </w:p>
    <w:p>
      <w:pPr>
        <w:rPr>
          <w:b/>
          <w:sz w:val="24"/>
        </w:rPr>
      </w:pPr>
      <w:r>
        <w:rPr>
          <w:rFonts w:hint="eastAsia"/>
          <w:b/>
          <w:sz w:val="24"/>
        </w:rPr>
        <w:br w:type="page"/>
      </w:r>
    </w:p>
    <w:p>
      <w:pPr>
        <w:spacing w:line="360" w:lineRule="auto"/>
        <w:jc w:val="center"/>
        <w:rPr>
          <w:b/>
          <w:sz w:val="24"/>
        </w:rPr>
      </w:pPr>
    </w:p>
    <w:p>
      <w:pPr>
        <w:rPr>
          <w:b/>
          <w:sz w:val="24"/>
        </w:rPr>
      </w:pPr>
    </w:p>
    <w:p>
      <w:pPr>
        <w:spacing w:line="360" w:lineRule="auto"/>
        <w:rPr>
          <w:b/>
          <w:sz w:val="24"/>
        </w:rPr>
      </w:pPr>
      <w:r>
        <w:rPr>
          <w:rFonts w:hint="eastAsia" w:eastAsiaTheme="minorEastAsia"/>
        </w:rPr>
        <w:drawing>
          <wp:inline distT="0" distB="0" distL="114300" distR="114300">
            <wp:extent cx="4244340" cy="5273675"/>
            <wp:effectExtent l="0" t="0" r="7620" b="14605"/>
            <wp:docPr id="4" name="图片 4" descr="束河风险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束河风险1"/>
                    <pic:cNvPicPr>
                      <a:picLocks noChangeAspect="1"/>
                    </pic:cNvPicPr>
                  </pic:nvPicPr>
                  <pic:blipFill>
                    <a:blip r:embed="rId9"/>
                    <a:stretch>
                      <a:fillRect/>
                    </a:stretch>
                  </pic:blipFill>
                  <pic:spPr>
                    <a:xfrm>
                      <a:off x="0" y="0"/>
                      <a:ext cx="4244340" cy="5273675"/>
                    </a:xfrm>
                    <a:prstGeom prst="rect">
                      <a:avLst/>
                    </a:prstGeom>
                  </pic:spPr>
                </pic:pic>
              </a:graphicData>
            </a:graphic>
          </wp:inline>
        </w:drawing>
      </w:r>
    </w:p>
    <w:p>
      <w:pPr>
        <w:spacing w:line="360" w:lineRule="auto"/>
        <w:jc w:val="center"/>
        <w:rPr>
          <w:b/>
          <w:sz w:val="24"/>
        </w:rPr>
      </w:pPr>
      <w:r>
        <w:rPr>
          <w:rFonts w:hint="eastAsia"/>
          <w:b/>
          <w:sz w:val="24"/>
        </w:rPr>
        <w:t>D02a束河街区火灾蔓延风险分级</w:t>
      </w:r>
    </w:p>
    <w:p>
      <w:pPr>
        <w:rPr>
          <w:b/>
          <w:sz w:val="24"/>
        </w:rPr>
      </w:pPr>
      <w:r>
        <w:rPr>
          <w:rFonts w:hint="eastAsia"/>
          <w:b/>
          <w:sz w:val="24"/>
        </w:rPr>
        <w:br w:type="page"/>
      </w:r>
    </w:p>
    <w:p>
      <w:pPr>
        <w:spacing w:line="360" w:lineRule="auto"/>
        <w:jc w:val="center"/>
        <w:rPr>
          <w:b/>
          <w:sz w:val="24"/>
        </w:rPr>
      </w:pPr>
    </w:p>
    <w:p>
      <w:pPr>
        <w:spacing w:line="360" w:lineRule="auto"/>
        <w:rPr>
          <w:b/>
          <w:sz w:val="24"/>
        </w:rPr>
      </w:pPr>
      <w:r>
        <w:rPr>
          <w:rFonts w:hint="eastAsia" w:eastAsiaTheme="minorEastAsia"/>
        </w:rPr>
        <w:drawing>
          <wp:inline distT="0" distB="0" distL="114300" distR="114300">
            <wp:extent cx="3693795" cy="5266055"/>
            <wp:effectExtent l="0" t="0" r="9525" b="6985"/>
            <wp:docPr id="2" name="图片 2" descr="QQ截图20220225150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Q截图20220225150518"/>
                    <pic:cNvPicPr>
                      <a:picLocks noChangeAspect="1"/>
                    </pic:cNvPicPr>
                  </pic:nvPicPr>
                  <pic:blipFill>
                    <a:blip r:embed="rId10"/>
                    <a:stretch>
                      <a:fillRect/>
                    </a:stretch>
                  </pic:blipFill>
                  <pic:spPr>
                    <a:xfrm>
                      <a:off x="0" y="0"/>
                      <a:ext cx="3693795" cy="5266055"/>
                    </a:xfrm>
                    <a:prstGeom prst="rect">
                      <a:avLst/>
                    </a:prstGeom>
                  </pic:spPr>
                </pic:pic>
              </a:graphicData>
            </a:graphic>
          </wp:inline>
        </w:drawing>
      </w:r>
    </w:p>
    <w:p>
      <w:pPr>
        <w:spacing w:line="360" w:lineRule="auto"/>
        <w:jc w:val="center"/>
        <w:rPr>
          <w:b/>
          <w:sz w:val="24"/>
        </w:rPr>
      </w:pPr>
    </w:p>
    <w:p>
      <w:pPr>
        <w:spacing w:line="360" w:lineRule="auto"/>
        <w:jc w:val="center"/>
        <w:rPr>
          <w:b/>
          <w:sz w:val="24"/>
        </w:rPr>
      </w:pPr>
      <w:r>
        <w:rPr>
          <w:rFonts w:hint="eastAsia"/>
          <w:b/>
          <w:sz w:val="24"/>
        </w:rPr>
        <w:t>D02b束河街区路网图</w:t>
      </w:r>
    </w:p>
    <w:p>
      <w:pPr>
        <w:rPr>
          <w:b/>
          <w:sz w:val="24"/>
        </w:rPr>
      </w:pPr>
      <w:r>
        <w:rPr>
          <w:rFonts w:hint="eastAsia"/>
          <w:b/>
          <w:sz w:val="24"/>
        </w:rPr>
        <w:br w:type="page"/>
      </w:r>
    </w:p>
    <w:p>
      <w:pPr>
        <w:spacing w:line="360" w:lineRule="auto"/>
        <w:rPr>
          <w:b/>
          <w:sz w:val="24"/>
        </w:rPr>
      </w:pPr>
      <w:r>
        <w:rPr>
          <w:rFonts w:hint="eastAsia" w:eastAsiaTheme="minorEastAsia"/>
        </w:rPr>
        <w:drawing>
          <wp:inline distT="0" distB="0" distL="114300" distR="114300">
            <wp:extent cx="5236845" cy="5029835"/>
            <wp:effectExtent l="0" t="0" r="5715" b="14605"/>
            <wp:docPr id="3" name="图片 3" descr="白沙风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白沙风险"/>
                    <pic:cNvPicPr>
                      <a:picLocks noChangeAspect="1"/>
                    </pic:cNvPicPr>
                  </pic:nvPicPr>
                  <pic:blipFill>
                    <a:blip r:embed="rId11"/>
                    <a:stretch>
                      <a:fillRect/>
                    </a:stretch>
                  </pic:blipFill>
                  <pic:spPr>
                    <a:xfrm>
                      <a:off x="0" y="0"/>
                      <a:ext cx="5236845" cy="5029835"/>
                    </a:xfrm>
                    <a:prstGeom prst="rect">
                      <a:avLst/>
                    </a:prstGeom>
                  </pic:spPr>
                </pic:pic>
              </a:graphicData>
            </a:graphic>
          </wp:inline>
        </w:drawing>
      </w:r>
    </w:p>
    <w:p>
      <w:pPr>
        <w:spacing w:line="360" w:lineRule="auto"/>
        <w:jc w:val="center"/>
        <w:rPr>
          <w:b/>
          <w:sz w:val="24"/>
        </w:rPr>
      </w:pPr>
      <w:r>
        <w:rPr>
          <w:rFonts w:hint="eastAsia"/>
          <w:b/>
          <w:sz w:val="24"/>
        </w:rPr>
        <w:t>D03a白沙街区火灾蔓延风险分级图</w:t>
      </w:r>
    </w:p>
    <w:p>
      <w:pPr>
        <w:spacing w:line="360" w:lineRule="auto"/>
        <w:jc w:val="center"/>
        <w:rPr>
          <w:b/>
          <w:sz w:val="24"/>
        </w:rPr>
      </w:pPr>
      <w:r>
        <w:rPr>
          <w:rFonts w:hint="eastAsia" w:eastAsiaTheme="minorEastAsia"/>
        </w:rPr>
        <w:drawing>
          <wp:inline distT="0" distB="0" distL="114300" distR="114300">
            <wp:extent cx="3164205" cy="5274310"/>
            <wp:effectExtent l="0" t="0" r="5715" b="13970"/>
            <wp:docPr id="11" name="图片 11" descr="白沙道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白沙道路"/>
                    <pic:cNvPicPr>
                      <a:picLocks noChangeAspect="1"/>
                    </pic:cNvPicPr>
                  </pic:nvPicPr>
                  <pic:blipFill>
                    <a:blip r:embed="rId12"/>
                    <a:stretch>
                      <a:fillRect/>
                    </a:stretch>
                  </pic:blipFill>
                  <pic:spPr>
                    <a:xfrm>
                      <a:off x="0" y="0"/>
                      <a:ext cx="3164205" cy="5274310"/>
                    </a:xfrm>
                    <a:prstGeom prst="rect">
                      <a:avLst/>
                    </a:prstGeom>
                  </pic:spPr>
                </pic:pic>
              </a:graphicData>
            </a:graphic>
          </wp:inline>
        </w:drawing>
      </w:r>
    </w:p>
    <w:p>
      <w:pPr>
        <w:spacing w:line="360" w:lineRule="auto"/>
        <w:jc w:val="center"/>
        <w:rPr>
          <w:b/>
          <w:sz w:val="24"/>
        </w:rPr>
      </w:pPr>
    </w:p>
    <w:p>
      <w:pPr>
        <w:spacing w:line="360" w:lineRule="auto"/>
        <w:jc w:val="center"/>
        <w:rPr>
          <w:b/>
          <w:sz w:val="24"/>
        </w:rPr>
      </w:pPr>
      <w:r>
        <w:rPr>
          <w:rFonts w:hint="eastAsia"/>
          <w:b/>
          <w:sz w:val="24"/>
        </w:rPr>
        <w:t>D03b白沙街区路网图</w:t>
      </w:r>
    </w:p>
    <w:p>
      <w:pPr>
        <w:rPr>
          <w:b/>
          <w:sz w:val="24"/>
        </w:rPr>
      </w:pPr>
      <w:r>
        <w:rPr>
          <w:rFonts w:hint="eastAsia"/>
          <w:b/>
          <w:sz w:val="24"/>
        </w:rPr>
        <w:br w:type="page"/>
      </w:r>
    </w:p>
    <w:p>
      <w:pPr>
        <w:spacing w:line="360" w:lineRule="auto"/>
        <w:rPr>
          <w:b/>
          <w:sz w:val="24"/>
        </w:rPr>
        <w:sectPr>
          <w:footerReference r:id="rId3" w:type="default"/>
          <w:pgSz w:w="11906" w:h="16838"/>
          <w:pgMar w:top="1440" w:right="1800" w:bottom="1440" w:left="1800" w:header="851" w:footer="992" w:gutter="0"/>
          <w:pgNumType w:start="1"/>
          <w:cols w:space="425" w:num="1"/>
          <w:docGrid w:type="lines" w:linePitch="312" w:charSpace="0"/>
        </w:sectPr>
      </w:pPr>
    </w:p>
    <w:p>
      <w:pPr>
        <w:pStyle w:val="2"/>
        <w:rPr>
          <w:sz w:val="32"/>
          <w:szCs w:val="32"/>
        </w:rPr>
      </w:pPr>
      <w:bookmarkStart w:id="31" w:name="_Toc13198"/>
      <w:r>
        <w:rPr>
          <w:rFonts w:hint="eastAsia"/>
          <w:sz w:val="32"/>
          <w:szCs w:val="32"/>
        </w:rPr>
        <w:t>附表E 各个分级区域说明</w:t>
      </w:r>
      <w:bookmarkEnd w:id="31"/>
    </w:p>
    <w:tbl>
      <w:tblPr>
        <w:tblStyle w:val="10"/>
        <w:tblW w:w="5000" w:type="pct"/>
        <w:tblInd w:w="0" w:type="dxa"/>
        <w:tblLayout w:type="autofit"/>
        <w:tblCellMar>
          <w:top w:w="0" w:type="dxa"/>
          <w:left w:w="108" w:type="dxa"/>
          <w:bottom w:w="0" w:type="dxa"/>
          <w:right w:w="108" w:type="dxa"/>
        </w:tblCellMar>
      </w:tblPr>
      <w:tblGrid>
        <w:gridCol w:w="566"/>
        <w:gridCol w:w="3394"/>
        <w:gridCol w:w="716"/>
        <w:gridCol w:w="2711"/>
        <w:gridCol w:w="716"/>
        <w:gridCol w:w="2711"/>
        <w:gridCol w:w="716"/>
        <w:gridCol w:w="2644"/>
      </w:tblGrid>
      <w:tr>
        <w:tblPrEx>
          <w:tblCellMar>
            <w:top w:w="0" w:type="dxa"/>
            <w:left w:w="108" w:type="dxa"/>
            <w:bottom w:w="0" w:type="dxa"/>
            <w:right w:w="108" w:type="dxa"/>
          </w:tblCellMar>
        </w:tblPrEx>
        <w:trPr>
          <w:trHeight w:val="285" w:hRule="atLeast"/>
        </w:trPr>
        <w:tc>
          <w:tcPr>
            <w:tcW w:w="5000" w:type="pct"/>
            <w:gridSpan w:val="8"/>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kern w:val="0"/>
                <w:sz w:val="15"/>
                <w:szCs w:val="15"/>
              </w:rPr>
            </w:pPr>
            <w:r>
              <w:rPr>
                <w:rFonts w:hint="eastAsia" w:ascii="宋体" w:hAnsi="宋体" w:cs="宋体"/>
                <w:b/>
                <w:bCs/>
                <w:sz w:val="18"/>
                <w:szCs w:val="18"/>
              </w:rPr>
              <w:t>大研分区表</w:t>
            </w:r>
          </w:p>
        </w:tc>
      </w:tr>
      <w:tr>
        <w:tblPrEx>
          <w:tblCellMar>
            <w:top w:w="0" w:type="dxa"/>
            <w:left w:w="108" w:type="dxa"/>
            <w:bottom w:w="0" w:type="dxa"/>
            <w:right w:w="108" w:type="dxa"/>
          </w:tblCellMar>
        </w:tblPrEx>
        <w:trPr>
          <w:trHeight w:val="285" w:hRule="atLeast"/>
        </w:trPr>
        <w:tc>
          <w:tcPr>
            <w:tcW w:w="19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区域</w:t>
            </w:r>
          </w:p>
        </w:tc>
        <w:tc>
          <w:tcPr>
            <w:tcW w:w="119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区域周围道路</w:t>
            </w:r>
          </w:p>
        </w:tc>
        <w:tc>
          <w:tcPr>
            <w:tcW w:w="252"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区域</w:t>
            </w:r>
          </w:p>
        </w:tc>
        <w:tc>
          <w:tcPr>
            <w:tcW w:w="95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区域周围道路</w:t>
            </w:r>
          </w:p>
        </w:tc>
        <w:tc>
          <w:tcPr>
            <w:tcW w:w="252"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区域</w:t>
            </w:r>
          </w:p>
        </w:tc>
        <w:tc>
          <w:tcPr>
            <w:tcW w:w="95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区域周围道路</w:t>
            </w:r>
          </w:p>
        </w:tc>
        <w:tc>
          <w:tcPr>
            <w:tcW w:w="252"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区域</w:t>
            </w:r>
          </w:p>
        </w:tc>
        <w:tc>
          <w:tcPr>
            <w:tcW w:w="93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区域周围道路</w:t>
            </w:r>
          </w:p>
        </w:tc>
      </w:tr>
      <w:tr>
        <w:tblPrEx>
          <w:tblCellMar>
            <w:top w:w="0" w:type="dxa"/>
            <w:left w:w="108" w:type="dxa"/>
            <w:bottom w:w="0" w:type="dxa"/>
            <w:right w:w="108" w:type="dxa"/>
          </w:tblCellMar>
        </w:tblPrEx>
        <w:trPr>
          <w:trHeight w:val="369" w:hRule="atLeast"/>
        </w:trPr>
        <w:tc>
          <w:tcPr>
            <w:tcW w:w="199" w:type="pc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w:t>
            </w:r>
          </w:p>
        </w:tc>
        <w:tc>
          <w:tcPr>
            <w:tcW w:w="119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狮山路、新华街黄山上段</w:t>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22-25</w:t>
            </w: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古佑巷、宝屋巷</w:t>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56</w:t>
            </w: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义尚街文明巷、金安路</w:t>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81</w:t>
            </w:r>
          </w:p>
        </w:tc>
        <w:tc>
          <w:tcPr>
            <w:tcW w:w="930"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义尚街文明巷、</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,8)</w:instrText>
            </w:r>
            <w:r>
              <w:rPr>
                <w:rFonts w:hint="eastAsia" w:ascii="宋体" w:hAnsi="宋体" w:cs="宋体"/>
                <w:kern w:val="0"/>
                <w:sz w:val="15"/>
                <w:szCs w:val="15"/>
              </w:rPr>
              <w:fldChar w:fldCharType="end"/>
            </w:r>
          </w:p>
        </w:tc>
      </w:tr>
      <w:tr>
        <w:tblPrEx>
          <w:tblCellMar>
            <w:top w:w="0" w:type="dxa"/>
            <w:left w:w="108" w:type="dxa"/>
            <w:bottom w:w="0" w:type="dxa"/>
            <w:right w:w="108" w:type="dxa"/>
          </w:tblCellMar>
        </w:tblPrEx>
        <w:trPr>
          <w:trHeight w:val="600" w:hRule="atLeast"/>
        </w:trPr>
        <w:tc>
          <w:tcPr>
            <w:tcW w:w="199" w:type="pc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2</w:t>
            </w:r>
          </w:p>
        </w:tc>
        <w:tc>
          <w:tcPr>
            <w:tcW w:w="119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新华街黄山上段、翠文段、新华街（2）</w:t>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26</w:t>
            </w: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古佑巷、宝屋巷、七一街八一下段</w:t>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57</w:t>
            </w: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义尚街文明巷、义尚街文林巷</w:t>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82</w:t>
            </w:r>
          </w:p>
        </w:tc>
        <w:tc>
          <w:tcPr>
            <w:tcW w:w="930"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义尚街文明巷、金安路、</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,7)</w:instrText>
            </w:r>
            <w:r>
              <w:rPr>
                <w:rFonts w:hint="eastAsia" w:ascii="宋体" w:hAnsi="宋体" w:cs="宋体"/>
                <w:kern w:val="0"/>
                <w:sz w:val="15"/>
                <w:szCs w:val="15"/>
              </w:rPr>
              <w:fldChar w:fldCharType="end"/>
            </w:r>
          </w:p>
        </w:tc>
      </w:tr>
      <w:tr>
        <w:tblPrEx>
          <w:tblCellMar>
            <w:top w:w="0" w:type="dxa"/>
            <w:left w:w="108" w:type="dxa"/>
            <w:bottom w:w="0" w:type="dxa"/>
            <w:right w:w="108" w:type="dxa"/>
          </w:tblCellMar>
        </w:tblPrEx>
        <w:trPr>
          <w:trHeight w:val="315" w:hRule="atLeast"/>
        </w:trPr>
        <w:tc>
          <w:tcPr>
            <w:tcW w:w="199" w:type="pc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3</w:t>
            </w:r>
          </w:p>
        </w:tc>
        <w:tc>
          <w:tcPr>
            <w:tcW w:w="119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新华街（1）、东大街</w:t>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27</w:t>
            </w: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宝屋巷、七一街八一下段</w:t>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58-59</w:t>
            </w: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义尚街文明巷、金虹路</w:t>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83</w:t>
            </w:r>
          </w:p>
        </w:tc>
        <w:tc>
          <w:tcPr>
            <w:tcW w:w="930"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义尚街文明巷、</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,8)</w:instrText>
            </w:r>
            <w:r>
              <w:rPr>
                <w:rFonts w:hint="eastAsia" w:ascii="宋体" w:hAnsi="宋体" w:cs="宋体"/>
                <w:kern w:val="0"/>
                <w:sz w:val="15"/>
                <w:szCs w:val="15"/>
              </w:rPr>
              <w:fldChar w:fldCharType="end"/>
            </w:r>
            <w:r>
              <w:rPr>
                <w:rFonts w:hint="eastAsia" w:ascii="宋体" w:hAnsi="宋体" w:cs="宋体"/>
                <w:kern w:val="0"/>
                <w:sz w:val="15"/>
                <w:szCs w:val="15"/>
              </w:rPr>
              <w:t>、</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,9)</w:instrText>
            </w:r>
            <w:r>
              <w:rPr>
                <w:rFonts w:hint="eastAsia" w:ascii="宋体" w:hAnsi="宋体" w:cs="宋体"/>
                <w:kern w:val="0"/>
                <w:sz w:val="15"/>
                <w:szCs w:val="15"/>
              </w:rPr>
              <w:fldChar w:fldCharType="end"/>
            </w:r>
          </w:p>
        </w:tc>
      </w:tr>
      <w:tr>
        <w:tblPrEx>
          <w:tblCellMar>
            <w:top w:w="0" w:type="dxa"/>
            <w:left w:w="108" w:type="dxa"/>
            <w:bottom w:w="0" w:type="dxa"/>
            <w:right w:w="108" w:type="dxa"/>
          </w:tblCellMar>
        </w:tblPrEx>
        <w:trPr>
          <w:trHeight w:val="570" w:hRule="atLeast"/>
        </w:trPr>
        <w:tc>
          <w:tcPr>
            <w:tcW w:w="199" w:type="pc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4</w:t>
            </w:r>
          </w:p>
        </w:tc>
        <w:tc>
          <w:tcPr>
            <w:tcW w:w="119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东大街、金虹路、五一街兴仁上段、五一街文治巷</w:t>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28-34</w:t>
            </w: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宝屋巷</w:t>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62</w:t>
            </w: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五一街文治巷、七一街、官院巷</w:t>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84</w:t>
            </w:r>
          </w:p>
        </w:tc>
        <w:tc>
          <w:tcPr>
            <w:tcW w:w="930"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义尚街文明巷、金安路、</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,7)</w:instrText>
            </w:r>
            <w:r>
              <w:rPr>
                <w:rFonts w:hint="eastAsia" w:ascii="宋体" w:hAnsi="宋体" w:cs="宋体"/>
                <w:kern w:val="0"/>
                <w:sz w:val="15"/>
                <w:szCs w:val="15"/>
              </w:rPr>
              <w:fldChar w:fldCharType="end"/>
            </w:r>
            <w:r>
              <w:rPr>
                <w:rFonts w:hint="eastAsia" w:ascii="宋体" w:hAnsi="宋体" w:cs="宋体"/>
                <w:kern w:val="0"/>
                <w:sz w:val="15"/>
                <w:szCs w:val="15"/>
              </w:rPr>
              <w:t>、</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,9)</w:instrText>
            </w:r>
            <w:r>
              <w:rPr>
                <w:rFonts w:hint="eastAsia" w:ascii="宋体" w:hAnsi="宋体" w:cs="宋体"/>
                <w:kern w:val="0"/>
                <w:sz w:val="15"/>
                <w:szCs w:val="15"/>
              </w:rPr>
              <w:fldChar w:fldCharType="end"/>
            </w:r>
          </w:p>
        </w:tc>
      </w:tr>
      <w:tr>
        <w:tblPrEx>
          <w:tblCellMar>
            <w:top w:w="0" w:type="dxa"/>
            <w:left w:w="108" w:type="dxa"/>
            <w:bottom w:w="0" w:type="dxa"/>
            <w:right w:w="108" w:type="dxa"/>
          </w:tblCellMar>
        </w:tblPrEx>
        <w:trPr>
          <w:trHeight w:val="315" w:hRule="atLeast"/>
        </w:trPr>
        <w:tc>
          <w:tcPr>
            <w:tcW w:w="199" w:type="pc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5</w:t>
            </w:r>
          </w:p>
        </w:tc>
        <w:tc>
          <w:tcPr>
            <w:tcW w:w="119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新华街黄山上段、新华街、翠文段</w:t>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35</w:t>
            </w: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宝屋巷、光义街兴文巷</w:t>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63</w:t>
            </w: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新华街（1）、新华街（2）</w:t>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85</w:t>
            </w:r>
          </w:p>
        </w:tc>
        <w:tc>
          <w:tcPr>
            <w:tcW w:w="930"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五一街文明巷、</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,10)</w:instrText>
            </w:r>
            <w:r>
              <w:rPr>
                <w:rFonts w:hint="eastAsia" w:ascii="宋体" w:hAnsi="宋体" w:cs="宋体"/>
                <w:kern w:val="0"/>
                <w:sz w:val="15"/>
                <w:szCs w:val="15"/>
              </w:rPr>
              <w:fldChar w:fldCharType="end"/>
            </w:r>
          </w:p>
        </w:tc>
      </w:tr>
      <w:tr>
        <w:tblPrEx>
          <w:tblCellMar>
            <w:top w:w="0" w:type="dxa"/>
            <w:left w:w="108" w:type="dxa"/>
            <w:bottom w:w="0" w:type="dxa"/>
            <w:right w:w="108" w:type="dxa"/>
          </w:tblCellMar>
        </w:tblPrEx>
        <w:trPr>
          <w:trHeight w:val="582" w:hRule="atLeast"/>
        </w:trPr>
        <w:tc>
          <w:tcPr>
            <w:tcW w:w="199" w:type="pc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6</w:t>
            </w:r>
          </w:p>
        </w:tc>
        <w:tc>
          <w:tcPr>
            <w:tcW w:w="119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官院巷、新华街、五一街文治巷</w:t>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36</w:t>
            </w: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光义街忠义巷、宝屋巷</w:t>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64</w:t>
            </w: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光义街光碧巷</w:t>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86</w:t>
            </w:r>
          </w:p>
        </w:tc>
        <w:tc>
          <w:tcPr>
            <w:tcW w:w="930"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五一街文明巷、文林村内部道路</w:t>
            </w:r>
          </w:p>
        </w:tc>
      </w:tr>
      <w:tr>
        <w:tblPrEx>
          <w:tblCellMar>
            <w:top w:w="0" w:type="dxa"/>
            <w:left w:w="108" w:type="dxa"/>
            <w:bottom w:w="0" w:type="dxa"/>
            <w:right w:w="108" w:type="dxa"/>
          </w:tblCellMar>
        </w:tblPrEx>
        <w:trPr>
          <w:trHeight w:val="315" w:hRule="atLeast"/>
        </w:trPr>
        <w:tc>
          <w:tcPr>
            <w:tcW w:w="199" w:type="pc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7</w:t>
            </w:r>
          </w:p>
        </w:tc>
        <w:tc>
          <w:tcPr>
            <w:tcW w:w="119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官院巷、五一街文治巷、七一街</w:t>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37-38</w:t>
            </w: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光义街忠义巷</w:t>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65</w:t>
            </w: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光义街金星巷、官院巷</w:t>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87</w:t>
            </w:r>
          </w:p>
        </w:tc>
        <w:tc>
          <w:tcPr>
            <w:tcW w:w="930"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义尚街文明巷、文林村内部路、</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,11)</w:instrText>
            </w:r>
            <w:r>
              <w:rPr>
                <w:rFonts w:hint="eastAsia" w:ascii="宋体" w:hAnsi="宋体" w:cs="宋体"/>
                <w:kern w:val="0"/>
                <w:sz w:val="15"/>
                <w:szCs w:val="15"/>
              </w:rPr>
              <w:fldChar w:fldCharType="end"/>
            </w:r>
          </w:p>
        </w:tc>
      </w:tr>
      <w:tr>
        <w:tblPrEx>
          <w:tblCellMar>
            <w:top w:w="0" w:type="dxa"/>
            <w:left w:w="108" w:type="dxa"/>
            <w:bottom w:w="0" w:type="dxa"/>
            <w:right w:w="108" w:type="dxa"/>
          </w:tblCellMar>
        </w:tblPrEx>
        <w:trPr>
          <w:trHeight w:val="315" w:hRule="atLeast"/>
        </w:trPr>
        <w:tc>
          <w:tcPr>
            <w:tcW w:w="199" w:type="pc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8</w:t>
            </w:r>
          </w:p>
        </w:tc>
        <w:tc>
          <w:tcPr>
            <w:tcW w:w="119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官院巷</w:t>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39</w:t>
            </w: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长水路、光义街忠义巷</w:t>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66</w:t>
            </w: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新华街黄山上段、狮山路</w:t>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88</w:t>
            </w:r>
          </w:p>
        </w:tc>
        <w:tc>
          <w:tcPr>
            <w:tcW w:w="930"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文林村内部路、</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,11)</w:instrText>
            </w:r>
            <w:r>
              <w:rPr>
                <w:rFonts w:hint="eastAsia" w:ascii="宋体" w:hAnsi="宋体" w:cs="宋体"/>
                <w:kern w:val="0"/>
                <w:sz w:val="15"/>
                <w:szCs w:val="15"/>
              </w:rPr>
              <w:fldChar w:fldCharType="end"/>
            </w:r>
            <w:r>
              <w:rPr>
                <w:rFonts w:hint="eastAsia" w:ascii="宋体" w:hAnsi="宋体" w:cs="宋体"/>
                <w:kern w:val="0"/>
                <w:sz w:val="15"/>
                <w:szCs w:val="15"/>
              </w:rPr>
              <w:t>、</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,12)</w:instrText>
            </w:r>
            <w:r>
              <w:rPr>
                <w:rFonts w:hint="eastAsia" w:ascii="宋体" w:hAnsi="宋体" w:cs="宋体"/>
                <w:kern w:val="0"/>
                <w:sz w:val="15"/>
                <w:szCs w:val="15"/>
              </w:rPr>
              <w:fldChar w:fldCharType="end"/>
            </w:r>
          </w:p>
        </w:tc>
      </w:tr>
      <w:tr>
        <w:tblPrEx>
          <w:tblCellMar>
            <w:top w:w="0" w:type="dxa"/>
            <w:left w:w="108" w:type="dxa"/>
            <w:bottom w:w="0" w:type="dxa"/>
            <w:right w:w="108" w:type="dxa"/>
          </w:tblCellMar>
        </w:tblPrEx>
        <w:trPr>
          <w:trHeight w:val="315" w:hRule="atLeast"/>
        </w:trPr>
        <w:tc>
          <w:tcPr>
            <w:tcW w:w="199" w:type="pc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9</w:t>
            </w:r>
          </w:p>
        </w:tc>
        <w:tc>
          <w:tcPr>
            <w:tcW w:w="119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官院巷</w:t>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40-41</w:t>
            </w: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光义街忠义巷</w:t>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67</w:t>
            </w: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义尙街文明巷</w:t>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89</w:t>
            </w:r>
          </w:p>
        </w:tc>
        <w:tc>
          <w:tcPr>
            <w:tcW w:w="930"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,11)</w:instrText>
            </w:r>
            <w:r>
              <w:rPr>
                <w:rFonts w:hint="eastAsia" w:ascii="宋体" w:hAnsi="宋体" w:cs="宋体"/>
                <w:kern w:val="0"/>
                <w:sz w:val="15"/>
                <w:szCs w:val="15"/>
              </w:rPr>
              <w:fldChar w:fldCharType="end"/>
            </w:r>
            <w:r>
              <w:rPr>
                <w:rFonts w:hint="eastAsia" w:ascii="宋体" w:hAnsi="宋体" w:cs="宋体"/>
                <w:kern w:val="0"/>
                <w:sz w:val="15"/>
                <w:szCs w:val="15"/>
              </w:rPr>
              <w:t>、义尚街文明巷</w:t>
            </w:r>
          </w:p>
        </w:tc>
      </w:tr>
      <w:tr>
        <w:tblPrEx>
          <w:tblCellMar>
            <w:top w:w="0" w:type="dxa"/>
            <w:left w:w="108" w:type="dxa"/>
            <w:bottom w:w="0" w:type="dxa"/>
            <w:right w:w="108" w:type="dxa"/>
          </w:tblCellMar>
        </w:tblPrEx>
        <w:trPr>
          <w:trHeight w:val="315" w:hRule="atLeast"/>
        </w:trPr>
        <w:tc>
          <w:tcPr>
            <w:tcW w:w="199" w:type="pc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10</w:t>
            </w:r>
          </w:p>
        </w:tc>
        <w:tc>
          <w:tcPr>
            <w:tcW w:w="119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光义街官院巷、七一街</w:t>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42</w:t>
            </w: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光义街金星巷、忠义巷</w:t>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68</w:t>
            </w: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lang w:bidi="ar"/>
              </w:rPr>
              <w:fldChar w:fldCharType="begin"/>
            </w:r>
            <w:r>
              <w:rPr>
                <w:rFonts w:hint="eastAsia" w:ascii="宋体" w:hAnsi="宋体" w:cs="宋体"/>
                <w:kern w:val="0"/>
                <w:sz w:val="15"/>
                <w:szCs w:val="15"/>
                <w:lang w:bidi="ar"/>
              </w:rPr>
              <w:instrText xml:space="preserve"> eq \o\ac(</w:instrText>
            </w:r>
            <w:r>
              <w:rPr>
                <w:rFonts w:hint="eastAsia" w:ascii="宋体" w:hAnsi="宋体" w:cs="宋体"/>
                <w:kern w:val="0"/>
                <w:position w:val="-3"/>
                <w:sz w:val="22"/>
                <w:szCs w:val="15"/>
                <w:lang w:bidi="ar"/>
              </w:rPr>
              <w:instrText xml:space="preserve">○</w:instrText>
            </w:r>
            <w:r>
              <w:rPr>
                <w:rFonts w:hint="eastAsia" w:ascii="宋体" w:hAnsi="宋体" w:cs="宋体"/>
                <w:kern w:val="0"/>
                <w:sz w:val="15"/>
                <w:szCs w:val="15"/>
                <w:lang w:bidi="ar"/>
              </w:rPr>
              <w:instrText xml:space="preserve">,1)</w:instrText>
            </w:r>
            <w:r>
              <w:rPr>
                <w:rFonts w:hint="eastAsia" w:ascii="宋体" w:hAnsi="宋体" w:cs="宋体"/>
                <w:kern w:val="0"/>
                <w:sz w:val="15"/>
                <w:szCs w:val="15"/>
                <w:lang w:bidi="ar"/>
              </w:rPr>
              <w:fldChar w:fldCharType="end"/>
            </w:r>
            <w:r>
              <w:rPr>
                <w:rFonts w:hint="eastAsia" w:ascii="宋体" w:hAnsi="宋体" w:cs="宋体"/>
                <w:kern w:val="0"/>
                <w:sz w:val="15"/>
                <w:szCs w:val="15"/>
                <w:lang w:bidi="ar"/>
              </w:rPr>
              <w:t>、</w:t>
            </w:r>
            <w:r>
              <w:rPr>
                <w:rFonts w:hint="eastAsia" w:ascii="宋体" w:hAnsi="宋体" w:cs="宋体"/>
                <w:kern w:val="0"/>
                <w:sz w:val="15"/>
                <w:szCs w:val="15"/>
                <w:lang w:bidi="ar"/>
              </w:rPr>
              <w:fldChar w:fldCharType="begin"/>
            </w:r>
            <w:r>
              <w:rPr>
                <w:rFonts w:hint="eastAsia" w:ascii="宋体" w:hAnsi="宋体" w:cs="宋体"/>
                <w:kern w:val="0"/>
                <w:sz w:val="15"/>
                <w:szCs w:val="15"/>
                <w:lang w:bidi="ar"/>
              </w:rPr>
              <w:instrText xml:space="preserve"> eq \o\ac(</w:instrText>
            </w:r>
            <w:r>
              <w:rPr>
                <w:rFonts w:hint="eastAsia" w:ascii="宋体" w:hAnsi="宋体" w:cs="宋体"/>
                <w:kern w:val="0"/>
                <w:position w:val="-3"/>
                <w:sz w:val="22"/>
                <w:szCs w:val="15"/>
                <w:lang w:bidi="ar"/>
              </w:rPr>
              <w:instrText xml:space="preserve">○</w:instrText>
            </w:r>
            <w:r>
              <w:rPr>
                <w:rFonts w:hint="eastAsia" w:ascii="宋体" w:hAnsi="宋体" w:cs="宋体"/>
                <w:kern w:val="0"/>
                <w:sz w:val="15"/>
                <w:szCs w:val="15"/>
                <w:lang w:bidi="ar"/>
              </w:rPr>
              <w:instrText xml:space="preserve">,3)</w:instrText>
            </w:r>
            <w:r>
              <w:rPr>
                <w:rFonts w:hint="eastAsia" w:ascii="宋体" w:hAnsi="宋体" w:cs="宋体"/>
                <w:kern w:val="0"/>
                <w:sz w:val="15"/>
                <w:szCs w:val="15"/>
                <w:lang w:bidi="ar"/>
              </w:rPr>
              <w:fldChar w:fldCharType="end"/>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90</w:t>
            </w:r>
          </w:p>
        </w:tc>
        <w:tc>
          <w:tcPr>
            <w:tcW w:w="930"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,11)</w:instrText>
            </w:r>
            <w:r>
              <w:rPr>
                <w:rFonts w:hint="eastAsia" w:ascii="宋体" w:hAnsi="宋体" w:cs="宋体"/>
                <w:kern w:val="0"/>
                <w:sz w:val="15"/>
                <w:szCs w:val="15"/>
              </w:rPr>
              <w:fldChar w:fldCharType="end"/>
            </w:r>
            <w:r>
              <w:rPr>
                <w:rFonts w:hint="eastAsia" w:ascii="宋体" w:hAnsi="宋体" w:cs="宋体"/>
                <w:kern w:val="0"/>
                <w:sz w:val="15"/>
                <w:szCs w:val="15"/>
              </w:rPr>
              <w:t>、</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,12)</w:instrText>
            </w:r>
            <w:r>
              <w:rPr>
                <w:rFonts w:hint="eastAsia" w:ascii="宋体" w:hAnsi="宋体" w:cs="宋体"/>
                <w:kern w:val="0"/>
                <w:sz w:val="15"/>
                <w:szCs w:val="15"/>
              </w:rPr>
              <w:fldChar w:fldCharType="end"/>
            </w:r>
          </w:p>
        </w:tc>
      </w:tr>
      <w:tr>
        <w:tblPrEx>
          <w:tblCellMar>
            <w:top w:w="0" w:type="dxa"/>
            <w:left w:w="108" w:type="dxa"/>
            <w:bottom w:w="0" w:type="dxa"/>
            <w:right w:w="108" w:type="dxa"/>
          </w:tblCellMar>
        </w:tblPrEx>
        <w:trPr>
          <w:trHeight w:val="315" w:hRule="atLeast"/>
        </w:trPr>
        <w:tc>
          <w:tcPr>
            <w:tcW w:w="199" w:type="pc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11</w:t>
            </w:r>
          </w:p>
        </w:tc>
        <w:tc>
          <w:tcPr>
            <w:tcW w:w="119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光义街官院巷</w:t>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43</w:t>
            </w: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光义街光碧巷、光义街金星巷</w:t>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69</w:t>
            </w: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,3)</w:instrText>
            </w:r>
            <w:r>
              <w:rPr>
                <w:rFonts w:hint="eastAsia" w:ascii="宋体" w:hAnsi="宋体" w:cs="宋体"/>
                <w:kern w:val="0"/>
                <w:sz w:val="15"/>
                <w:szCs w:val="15"/>
              </w:rPr>
              <w:fldChar w:fldCharType="end"/>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91</w:t>
            </w:r>
          </w:p>
        </w:tc>
        <w:tc>
          <w:tcPr>
            <w:tcW w:w="930"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文林村内部路、</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,12)</w:instrText>
            </w:r>
            <w:r>
              <w:rPr>
                <w:rFonts w:hint="eastAsia" w:ascii="宋体" w:hAnsi="宋体" w:cs="宋体"/>
                <w:kern w:val="0"/>
                <w:sz w:val="15"/>
                <w:szCs w:val="15"/>
              </w:rPr>
              <w:fldChar w:fldCharType="end"/>
            </w:r>
            <w:r>
              <w:rPr>
                <w:rFonts w:hint="eastAsia" w:ascii="宋体" w:hAnsi="宋体" w:cs="宋体"/>
                <w:kern w:val="0"/>
                <w:sz w:val="15"/>
                <w:szCs w:val="15"/>
              </w:rPr>
              <w:t>、金安路</w:t>
            </w:r>
          </w:p>
        </w:tc>
      </w:tr>
      <w:tr>
        <w:tblPrEx>
          <w:tblCellMar>
            <w:top w:w="0" w:type="dxa"/>
            <w:left w:w="108" w:type="dxa"/>
            <w:bottom w:w="0" w:type="dxa"/>
            <w:right w:w="108" w:type="dxa"/>
          </w:tblCellMar>
        </w:tblPrEx>
        <w:trPr>
          <w:trHeight w:val="315" w:hRule="atLeast"/>
        </w:trPr>
        <w:tc>
          <w:tcPr>
            <w:tcW w:w="199" w:type="pc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12</w:t>
            </w:r>
          </w:p>
        </w:tc>
        <w:tc>
          <w:tcPr>
            <w:tcW w:w="119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光义街官院巷、兴文巷、忠义巷</w:t>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46</w:t>
            </w: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,3)</w:instrText>
            </w:r>
            <w:r>
              <w:rPr>
                <w:rFonts w:hint="eastAsia" w:ascii="宋体" w:hAnsi="宋体" w:cs="宋体"/>
                <w:kern w:val="0"/>
                <w:sz w:val="15"/>
                <w:szCs w:val="15"/>
              </w:rPr>
              <w:fldChar w:fldCharType="end"/>
            </w:r>
            <w:r>
              <w:rPr>
                <w:rFonts w:hint="eastAsia" w:ascii="宋体" w:hAnsi="宋体" w:cs="宋体"/>
                <w:kern w:val="0"/>
                <w:sz w:val="15"/>
                <w:szCs w:val="15"/>
              </w:rPr>
              <w:t>、五一街文治巷</w:t>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70</w:t>
            </w: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文智巷</w:t>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92</w:t>
            </w:r>
          </w:p>
        </w:tc>
        <w:tc>
          <w:tcPr>
            <w:tcW w:w="930"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,11)</w:instrText>
            </w:r>
            <w:r>
              <w:rPr>
                <w:rFonts w:hint="eastAsia" w:ascii="宋体" w:hAnsi="宋体" w:cs="宋体"/>
                <w:kern w:val="0"/>
                <w:sz w:val="15"/>
                <w:szCs w:val="15"/>
              </w:rPr>
              <w:fldChar w:fldCharType="end"/>
            </w:r>
            <w:r>
              <w:rPr>
                <w:rFonts w:hint="eastAsia" w:ascii="宋体" w:hAnsi="宋体" w:cs="宋体"/>
                <w:kern w:val="0"/>
                <w:sz w:val="15"/>
                <w:szCs w:val="15"/>
              </w:rPr>
              <w:t>、</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,12)</w:instrText>
            </w:r>
            <w:r>
              <w:rPr>
                <w:rFonts w:hint="eastAsia" w:ascii="宋体" w:hAnsi="宋体" w:cs="宋体"/>
                <w:kern w:val="0"/>
                <w:sz w:val="15"/>
                <w:szCs w:val="15"/>
              </w:rPr>
              <w:fldChar w:fldCharType="end"/>
            </w:r>
            <w:r>
              <w:rPr>
                <w:rFonts w:hint="eastAsia" w:ascii="宋体" w:hAnsi="宋体" w:cs="宋体"/>
                <w:kern w:val="0"/>
                <w:sz w:val="15"/>
                <w:szCs w:val="15"/>
              </w:rPr>
              <w:t>、金安路</w:t>
            </w:r>
          </w:p>
        </w:tc>
      </w:tr>
      <w:tr>
        <w:tblPrEx>
          <w:tblCellMar>
            <w:top w:w="0" w:type="dxa"/>
            <w:left w:w="108" w:type="dxa"/>
            <w:bottom w:w="0" w:type="dxa"/>
            <w:right w:w="108" w:type="dxa"/>
          </w:tblCellMar>
        </w:tblPrEx>
        <w:trPr>
          <w:trHeight w:val="315" w:hRule="atLeast"/>
        </w:trPr>
        <w:tc>
          <w:tcPr>
            <w:tcW w:w="199" w:type="pc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13</w:t>
            </w:r>
          </w:p>
        </w:tc>
        <w:tc>
          <w:tcPr>
            <w:tcW w:w="119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兴文巷、七一街、忠义巷</w:t>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47</w:t>
            </w: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五一街文治巷、五一街兴仁上段</w:t>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71-73</w:t>
            </w: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,3)</w:instrText>
            </w:r>
            <w:r>
              <w:rPr>
                <w:rFonts w:hint="eastAsia" w:ascii="宋体" w:hAnsi="宋体" w:cs="宋体"/>
                <w:kern w:val="0"/>
                <w:sz w:val="15"/>
                <w:szCs w:val="15"/>
              </w:rPr>
              <w:fldChar w:fldCharType="end"/>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93</w:t>
            </w:r>
          </w:p>
        </w:tc>
        <w:tc>
          <w:tcPr>
            <w:tcW w:w="930"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金安路、五一街文明巷</w:t>
            </w:r>
          </w:p>
        </w:tc>
      </w:tr>
      <w:tr>
        <w:tblPrEx>
          <w:tblCellMar>
            <w:top w:w="0" w:type="dxa"/>
            <w:left w:w="108" w:type="dxa"/>
            <w:bottom w:w="0" w:type="dxa"/>
            <w:right w:w="108" w:type="dxa"/>
          </w:tblCellMar>
        </w:tblPrEx>
        <w:trPr>
          <w:trHeight w:val="315" w:hRule="atLeast"/>
        </w:trPr>
        <w:tc>
          <w:tcPr>
            <w:tcW w:w="199" w:type="pc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14</w:t>
            </w:r>
          </w:p>
        </w:tc>
        <w:tc>
          <w:tcPr>
            <w:tcW w:w="119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七一街八一上段、崇仁巷</w:t>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49</w:t>
            </w: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五一街文治巷、五一街兴仁上段、</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,3)</w:instrText>
            </w:r>
            <w:r>
              <w:rPr>
                <w:rFonts w:hint="eastAsia" w:ascii="宋体" w:hAnsi="宋体" w:cs="宋体"/>
                <w:kern w:val="0"/>
                <w:sz w:val="15"/>
                <w:szCs w:val="15"/>
              </w:rPr>
              <w:fldChar w:fldCharType="end"/>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74</w:t>
            </w: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文华巷</w:t>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94</w:t>
            </w:r>
          </w:p>
        </w:tc>
        <w:tc>
          <w:tcPr>
            <w:tcW w:w="930"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金安路、义尚街文明巷、金虹路、</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,13)</w:instrText>
            </w:r>
            <w:r>
              <w:rPr>
                <w:rFonts w:hint="eastAsia" w:ascii="宋体" w:hAnsi="宋体" w:cs="宋体"/>
                <w:kern w:val="0"/>
                <w:sz w:val="15"/>
                <w:szCs w:val="15"/>
              </w:rPr>
              <w:fldChar w:fldCharType="end"/>
            </w:r>
          </w:p>
        </w:tc>
      </w:tr>
      <w:tr>
        <w:tblPrEx>
          <w:tblCellMar>
            <w:top w:w="0" w:type="dxa"/>
            <w:left w:w="108" w:type="dxa"/>
            <w:bottom w:w="0" w:type="dxa"/>
            <w:right w:w="108" w:type="dxa"/>
          </w:tblCellMar>
        </w:tblPrEx>
        <w:trPr>
          <w:trHeight w:val="315" w:hRule="atLeast"/>
        </w:trPr>
        <w:tc>
          <w:tcPr>
            <w:tcW w:w="199" w:type="pc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15</w:t>
            </w:r>
          </w:p>
        </w:tc>
        <w:tc>
          <w:tcPr>
            <w:tcW w:w="119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兴文巷、崇仁巷、七一街八一上段</w:t>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50</w:t>
            </w: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五一街兴仁上段、金虹路</w:t>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75</w:t>
            </w: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文华巷、金安路</w:t>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95</w:t>
            </w:r>
          </w:p>
        </w:tc>
        <w:tc>
          <w:tcPr>
            <w:tcW w:w="930"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金安路、金虹路、</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,13)</w:instrText>
            </w:r>
            <w:r>
              <w:rPr>
                <w:rFonts w:hint="eastAsia" w:ascii="宋体" w:hAnsi="宋体" w:cs="宋体"/>
                <w:kern w:val="0"/>
                <w:sz w:val="15"/>
                <w:szCs w:val="15"/>
              </w:rPr>
              <w:fldChar w:fldCharType="end"/>
            </w:r>
          </w:p>
        </w:tc>
      </w:tr>
      <w:tr>
        <w:tblPrEx>
          <w:tblCellMar>
            <w:top w:w="0" w:type="dxa"/>
            <w:left w:w="108" w:type="dxa"/>
            <w:bottom w:w="0" w:type="dxa"/>
            <w:right w:w="108" w:type="dxa"/>
          </w:tblCellMar>
        </w:tblPrEx>
        <w:trPr>
          <w:trHeight w:val="315" w:hRule="atLeast"/>
        </w:trPr>
        <w:tc>
          <w:tcPr>
            <w:tcW w:w="199" w:type="pc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16</w:t>
            </w:r>
          </w:p>
        </w:tc>
        <w:tc>
          <w:tcPr>
            <w:tcW w:w="119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七一街八一上段、宝屋巷</w:t>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51</w:t>
            </w: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五一街文明巷、五一街文智巷</w:t>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76</w:t>
            </w: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金安路</w:t>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96</w:t>
            </w:r>
          </w:p>
        </w:tc>
        <w:tc>
          <w:tcPr>
            <w:tcW w:w="930"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义尚街文明巷、金虹路、</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,14)</w:instrText>
            </w:r>
            <w:r>
              <w:rPr>
                <w:rFonts w:hint="eastAsia" w:ascii="宋体" w:hAnsi="宋体" w:cs="宋体"/>
                <w:kern w:val="0"/>
                <w:sz w:val="15"/>
                <w:szCs w:val="15"/>
              </w:rPr>
              <w:fldChar w:fldCharType="end"/>
            </w:r>
          </w:p>
        </w:tc>
      </w:tr>
      <w:tr>
        <w:tblPrEx>
          <w:tblCellMar>
            <w:top w:w="0" w:type="dxa"/>
            <w:left w:w="108" w:type="dxa"/>
            <w:bottom w:w="0" w:type="dxa"/>
            <w:right w:w="108" w:type="dxa"/>
          </w:tblCellMar>
        </w:tblPrEx>
        <w:trPr>
          <w:trHeight w:val="315" w:hRule="atLeast"/>
        </w:trPr>
        <w:tc>
          <w:tcPr>
            <w:tcW w:w="199" w:type="pc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17</w:t>
            </w:r>
          </w:p>
        </w:tc>
        <w:tc>
          <w:tcPr>
            <w:tcW w:w="119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七一街八一下段、金安路、文华巷</w:t>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52</w:t>
            </w: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五一街文明巷、金虹路</w:t>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77-78</w:t>
            </w: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金安路、祥和路、</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,4)</w:instrText>
            </w:r>
            <w:r>
              <w:rPr>
                <w:rFonts w:hint="eastAsia" w:ascii="宋体" w:hAnsi="宋体" w:cs="宋体"/>
                <w:kern w:val="0"/>
                <w:sz w:val="15"/>
                <w:szCs w:val="15"/>
              </w:rPr>
              <w:fldChar w:fldCharType="end"/>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97</w:t>
            </w:r>
          </w:p>
        </w:tc>
        <w:tc>
          <w:tcPr>
            <w:tcW w:w="930"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金虹路、金安路</w:t>
            </w:r>
          </w:p>
        </w:tc>
      </w:tr>
      <w:tr>
        <w:tblPrEx>
          <w:tblCellMar>
            <w:top w:w="0" w:type="dxa"/>
            <w:left w:w="108" w:type="dxa"/>
            <w:bottom w:w="0" w:type="dxa"/>
            <w:right w:w="108" w:type="dxa"/>
          </w:tblCellMar>
        </w:tblPrEx>
        <w:trPr>
          <w:trHeight w:val="570" w:hRule="atLeast"/>
        </w:trPr>
        <w:tc>
          <w:tcPr>
            <w:tcW w:w="199" w:type="pc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18</w:t>
            </w:r>
          </w:p>
        </w:tc>
        <w:tc>
          <w:tcPr>
            <w:tcW w:w="119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祥和路、七一街八一下段、古佑巷</w:t>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53</w:t>
            </w: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五一街文智巷、五一街文明巷、文林巷</w:t>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79</w:t>
            </w: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金安路、七一街八一下段、祥和路、</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,5)</w:instrText>
            </w:r>
            <w:r>
              <w:rPr>
                <w:rFonts w:hint="eastAsia" w:ascii="宋体" w:hAnsi="宋体" w:cs="宋体"/>
                <w:kern w:val="0"/>
                <w:sz w:val="15"/>
                <w:szCs w:val="15"/>
              </w:rPr>
              <w:fldChar w:fldCharType="end"/>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98-99</w:t>
            </w:r>
          </w:p>
        </w:tc>
        <w:tc>
          <w:tcPr>
            <w:tcW w:w="930"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,15)</w:instrText>
            </w:r>
            <w:r>
              <w:rPr>
                <w:rFonts w:hint="eastAsia" w:ascii="宋体" w:hAnsi="宋体" w:cs="宋体"/>
                <w:kern w:val="0"/>
                <w:sz w:val="15"/>
                <w:szCs w:val="15"/>
              </w:rPr>
              <w:fldChar w:fldCharType="end"/>
            </w:r>
            <w:r>
              <w:rPr>
                <w:rFonts w:hint="eastAsia" w:ascii="宋体" w:hAnsi="宋体" w:cs="宋体"/>
                <w:kern w:val="0"/>
                <w:sz w:val="15"/>
                <w:szCs w:val="15"/>
              </w:rPr>
              <w:t>、</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,16)</w:instrText>
            </w:r>
            <w:r>
              <w:rPr>
                <w:rFonts w:hint="eastAsia" w:ascii="宋体" w:hAnsi="宋体" w:cs="宋体"/>
                <w:kern w:val="0"/>
                <w:sz w:val="15"/>
                <w:szCs w:val="15"/>
              </w:rPr>
              <w:fldChar w:fldCharType="end"/>
            </w:r>
          </w:p>
        </w:tc>
      </w:tr>
      <w:tr>
        <w:tblPrEx>
          <w:tblCellMar>
            <w:top w:w="0" w:type="dxa"/>
            <w:left w:w="108" w:type="dxa"/>
            <w:bottom w:w="0" w:type="dxa"/>
            <w:right w:w="108" w:type="dxa"/>
          </w:tblCellMar>
        </w:tblPrEx>
        <w:trPr>
          <w:trHeight w:val="501" w:hRule="atLeast"/>
        </w:trPr>
        <w:tc>
          <w:tcPr>
            <w:tcW w:w="199" w:type="pc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19-21</w:t>
            </w:r>
          </w:p>
        </w:tc>
        <w:tc>
          <w:tcPr>
            <w:tcW w:w="119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祥和路、古佑巷</w:t>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54-55</w:t>
            </w: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义尚街文明巷、</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,6)</w:instrText>
            </w:r>
            <w:r>
              <w:rPr>
                <w:rFonts w:hint="eastAsia" w:ascii="宋体" w:hAnsi="宋体" w:cs="宋体"/>
                <w:kern w:val="0"/>
                <w:sz w:val="15"/>
                <w:szCs w:val="15"/>
              </w:rPr>
              <w:fldChar w:fldCharType="end"/>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80</w:t>
            </w: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文智巷、</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,6)</w:instrText>
            </w:r>
            <w:r>
              <w:rPr>
                <w:rFonts w:hint="eastAsia" w:ascii="宋体" w:hAnsi="宋体" w:cs="宋体"/>
                <w:kern w:val="0"/>
                <w:sz w:val="15"/>
                <w:szCs w:val="15"/>
              </w:rPr>
              <w:fldChar w:fldCharType="end"/>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100</w:t>
            </w:r>
          </w:p>
        </w:tc>
        <w:tc>
          <w:tcPr>
            <w:tcW w:w="930"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金虹路、东岳巷、</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,17)</w:instrText>
            </w:r>
            <w:r>
              <w:rPr>
                <w:rFonts w:hint="eastAsia" w:ascii="宋体" w:hAnsi="宋体" w:cs="宋体"/>
                <w:kern w:val="0"/>
                <w:sz w:val="15"/>
                <w:szCs w:val="15"/>
              </w:rPr>
              <w:fldChar w:fldCharType="end"/>
            </w:r>
          </w:p>
        </w:tc>
      </w:tr>
      <w:tr>
        <w:tblPrEx>
          <w:tblCellMar>
            <w:top w:w="0" w:type="dxa"/>
            <w:left w:w="108" w:type="dxa"/>
            <w:bottom w:w="0" w:type="dxa"/>
            <w:right w:w="108" w:type="dxa"/>
          </w:tblCellMar>
        </w:tblPrEx>
        <w:trPr>
          <w:trHeight w:val="369" w:hRule="atLeast"/>
        </w:trPr>
        <w:tc>
          <w:tcPr>
            <w:tcW w:w="199" w:type="pc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101</w:t>
            </w:r>
          </w:p>
        </w:tc>
        <w:tc>
          <w:tcPr>
            <w:tcW w:w="119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东岳巷、</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,17)</w:instrText>
            </w:r>
            <w:r>
              <w:rPr>
                <w:rFonts w:hint="eastAsia" w:ascii="宋体" w:hAnsi="宋体" w:cs="宋体"/>
                <w:kern w:val="0"/>
                <w:sz w:val="15"/>
                <w:szCs w:val="15"/>
              </w:rPr>
              <w:fldChar w:fldCharType="end"/>
            </w:r>
            <w:r>
              <w:rPr>
                <w:rFonts w:hint="eastAsia" w:ascii="宋体" w:hAnsi="宋体" w:cs="宋体"/>
                <w:kern w:val="0"/>
                <w:sz w:val="15"/>
                <w:szCs w:val="15"/>
              </w:rPr>
              <w:t>、</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,18)</w:instrText>
            </w:r>
            <w:r>
              <w:rPr>
                <w:rFonts w:hint="eastAsia" w:ascii="宋体" w:hAnsi="宋体" w:cs="宋体"/>
                <w:kern w:val="0"/>
                <w:sz w:val="15"/>
                <w:szCs w:val="15"/>
              </w:rPr>
              <w:fldChar w:fldCharType="end"/>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120</w:t>
            </w: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,23)</w:instrText>
            </w:r>
            <w:r>
              <w:rPr>
                <w:rFonts w:hint="eastAsia" w:ascii="宋体" w:hAnsi="宋体" w:cs="宋体"/>
                <w:kern w:val="0"/>
                <w:sz w:val="15"/>
                <w:szCs w:val="15"/>
              </w:rPr>
              <w:fldChar w:fldCharType="end"/>
            </w:r>
            <w:r>
              <w:rPr>
                <w:rFonts w:hint="eastAsia" w:ascii="宋体" w:hAnsi="宋体" w:cs="宋体"/>
                <w:kern w:val="0"/>
                <w:sz w:val="15"/>
                <w:szCs w:val="15"/>
              </w:rPr>
              <w:t>、</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,25)</w:instrText>
            </w:r>
            <w:r>
              <w:rPr>
                <w:rFonts w:hint="eastAsia" w:ascii="宋体" w:hAnsi="宋体" w:cs="宋体"/>
                <w:kern w:val="0"/>
                <w:sz w:val="15"/>
                <w:szCs w:val="15"/>
              </w:rPr>
              <w:fldChar w:fldCharType="end"/>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123</w:t>
            </w: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3"/>
                <w:szCs w:val="13"/>
              </w:rPr>
            </w:pP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,22)</w:instrText>
            </w:r>
            <w:r>
              <w:rPr>
                <w:rFonts w:hint="eastAsia" w:ascii="宋体" w:hAnsi="宋体" w:cs="宋体"/>
                <w:kern w:val="0"/>
                <w:sz w:val="15"/>
                <w:szCs w:val="15"/>
              </w:rPr>
              <w:fldChar w:fldCharType="end"/>
            </w:r>
            <w:r>
              <w:rPr>
                <w:rFonts w:hint="eastAsia" w:ascii="宋体" w:hAnsi="宋体" w:cs="宋体"/>
                <w:kern w:val="0"/>
                <w:sz w:val="15"/>
                <w:szCs w:val="15"/>
              </w:rPr>
              <w:t>、</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,23)</w:instrText>
            </w:r>
            <w:r>
              <w:rPr>
                <w:rFonts w:hint="eastAsia" w:ascii="宋体" w:hAnsi="宋体" w:cs="宋体"/>
                <w:kern w:val="0"/>
                <w:sz w:val="15"/>
                <w:szCs w:val="15"/>
              </w:rPr>
              <w:fldChar w:fldCharType="end"/>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124</w:t>
            </w:r>
          </w:p>
        </w:tc>
        <w:tc>
          <w:tcPr>
            <w:tcW w:w="930"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,25)</w:instrText>
            </w:r>
            <w:r>
              <w:rPr>
                <w:rFonts w:hint="eastAsia" w:ascii="宋体" w:hAnsi="宋体" w:cs="宋体"/>
                <w:kern w:val="0"/>
                <w:sz w:val="15"/>
                <w:szCs w:val="15"/>
              </w:rPr>
              <w:fldChar w:fldCharType="end"/>
            </w:r>
            <w:r>
              <w:rPr>
                <w:rFonts w:hint="eastAsia" w:ascii="宋体" w:hAnsi="宋体" w:cs="宋体"/>
                <w:kern w:val="0"/>
                <w:sz w:val="15"/>
                <w:szCs w:val="15"/>
              </w:rPr>
              <w:t>、</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,26)</w:instrText>
            </w:r>
            <w:r>
              <w:rPr>
                <w:rFonts w:hint="eastAsia" w:ascii="宋体" w:hAnsi="宋体" w:cs="宋体"/>
                <w:kern w:val="0"/>
                <w:sz w:val="15"/>
                <w:szCs w:val="15"/>
              </w:rPr>
              <w:fldChar w:fldCharType="end"/>
            </w:r>
          </w:p>
        </w:tc>
      </w:tr>
      <w:tr>
        <w:tblPrEx>
          <w:tblCellMar>
            <w:top w:w="0" w:type="dxa"/>
            <w:left w:w="108" w:type="dxa"/>
            <w:bottom w:w="0" w:type="dxa"/>
            <w:right w:w="108" w:type="dxa"/>
          </w:tblCellMar>
        </w:tblPrEx>
        <w:trPr>
          <w:trHeight w:val="600" w:hRule="atLeast"/>
        </w:trPr>
        <w:tc>
          <w:tcPr>
            <w:tcW w:w="199" w:type="pc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102</w:t>
            </w:r>
          </w:p>
        </w:tc>
        <w:tc>
          <w:tcPr>
            <w:tcW w:w="119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东岳巷、</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,18)</w:instrText>
            </w:r>
            <w:r>
              <w:rPr>
                <w:rFonts w:hint="eastAsia" w:ascii="宋体" w:hAnsi="宋体" w:cs="宋体"/>
                <w:kern w:val="0"/>
                <w:sz w:val="15"/>
                <w:szCs w:val="15"/>
              </w:rPr>
              <w:fldChar w:fldCharType="end"/>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121</w:t>
            </w: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,25)</w:instrText>
            </w:r>
            <w:r>
              <w:rPr>
                <w:rFonts w:hint="eastAsia" w:ascii="宋体" w:hAnsi="宋体" w:cs="宋体"/>
                <w:kern w:val="0"/>
                <w:sz w:val="15"/>
                <w:szCs w:val="15"/>
              </w:rPr>
              <w:fldChar w:fldCharType="end"/>
            </w:r>
            <w:r>
              <w:rPr>
                <w:rFonts w:hint="eastAsia" w:ascii="宋体" w:hAnsi="宋体" w:cs="宋体"/>
                <w:kern w:val="0"/>
                <w:sz w:val="15"/>
                <w:szCs w:val="15"/>
              </w:rPr>
              <w:t>、</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,26)</w:instrText>
            </w:r>
            <w:r>
              <w:rPr>
                <w:rFonts w:hint="eastAsia" w:ascii="宋体" w:hAnsi="宋体" w:cs="宋体"/>
                <w:kern w:val="0"/>
                <w:sz w:val="15"/>
                <w:szCs w:val="15"/>
              </w:rPr>
              <w:fldChar w:fldCharType="end"/>
            </w:r>
            <w:r>
              <w:rPr>
                <w:rFonts w:hint="eastAsia" w:ascii="宋体" w:hAnsi="宋体" w:cs="宋体"/>
                <w:kern w:val="0"/>
                <w:sz w:val="15"/>
                <w:szCs w:val="15"/>
              </w:rPr>
              <w:t>、</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,24)</w:instrText>
            </w:r>
            <w:r>
              <w:rPr>
                <w:rFonts w:hint="eastAsia" w:ascii="宋体" w:hAnsi="宋体" w:cs="宋体"/>
                <w:kern w:val="0"/>
                <w:sz w:val="15"/>
                <w:szCs w:val="15"/>
              </w:rPr>
              <w:fldChar w:fldCharType="end"/>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124</w:t>
            </w: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3"/>
                <w:szCs w:val="13"/>
              </w:rPr>
            </w:pP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,25)</w:instrText>
            </w:r>
            <w:r>
              <w:rPr>
                <w:rFonts w:hint="eastAsia" w:ascii="宋体" w:hAnsi="宋体" w:cs="宋体"/>
                <w:kern w:val="0"/>
                <w:sz w:val="15"/>
                <w:szCs w:val="15"/>
              </w:rPr>
              <w:fldChar w:fldCharType="end"/>
            </w:r>
            <w:r>
              <w:rPr>
                <w:rFonts w:hint="eastAsia" w:ascii="宋体" w:hAnsi="宋体" w:cs="宋体"/>
                <w:kern w:val="0"/>
                <w:sz w:val="15"/>
                <w:szCs w:val="15"/>
              </w:rPr>
              <w:t>、</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,26)</w:instrText>
            </w:r>
            <w:r>
              <w:rPr>
                <w:rFonts w:hint="eastAsia" w:ascii="宋体" w:hAnsi="宋体" w:cs="宋体"/>
                <w:kern w:val="0"/>
                <w:sz w:val="15"/>
                <w:szCs w:val="15"/>
              </w:rPr>
              <w:fldChar w:fldCharType="end"/>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126</w:t>
            </w:r>
          </w:p>
        </w:tc>
        <w:tc>
          <w:tcPr>
            <w:tcW w:w="930"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宝屋巷</w:t>
            </w:r>
          </w:p>
        </w:tc>
      </w:tr>
      <w:tr>
        <w:tblPrEx>
          <w:tblCellMar>
            <w:top w:w="0" w:type="dxa"/>
            <w:left w:w="108" w:type="dxa"/>
            <w:bottom w:w="0" w:type="dxa"/>
            <w:right w:w="108" w:type="dxa"/>
          </w:tblCellMar>
        </w:tblPrEx>
        <w:trPr>
          <w:trHeight w:val="315" w:hRule="atLeast"/>
        </w:trPr>
        <w:tc>
          <w:tcPr>
            <w:tcW w:w="199" w:type="pc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103</w:t>
            </w:r>
          </w:p>
        </w:tc>
        <w:tc>
          <w:tcPr>
            <w:tcW w:w="119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东岳巷、北门街金虹巷</w:t>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122</w:t>
            </w: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,23)</w:instrText>
            </w:r>
            <w:r>
              <w:rPr>
                <w:rFonts w:hint="eastAsia" w:ascii="宋体" w:hAnsi="宋体" w:cs="宋体"/>
                <w:kern w:val="0"/>
                <w:sz w:val="15"/>
                <w:szCs w:val="15"/>
              </w:rPr>
              <w:fldChar w:fldCharType="end"/>
            </w:r>
            <w:r>
              <w:rPr>
                <w:rFonts w:hint="eastAsia" w:ascii="宋体" w:hAnsi="宋体" w:cs="宋体"/>
                <w:kern w:val="0"/>
                <w:sz w:val="15"/>
                <w:szCs w:val="15"/>
              </w:rPr>
              <w:t>、</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,25)</w:instrText>
            </w:r>
            <w:r>
              <w:rPr>
                <w:rFonts w:hint="eastAsia" w:ascii="宋体" w:hAnsi="宋体" w:cs="宋体"/>
                <w:kern w:val="0"/>
                <w:sz w:val="15"/>
                <w:szCs w:val="15"/>
              </w:rPr>
              <w:fldChar w:fldCharType="end"/>
            </w:r>
            <w:r>
              <w:rPr>
                <w:rFonts w:hint="eastAsia" w:ascii="宋体" w:hAnsi="宋体" w:cs="宋体"/>
                <w:kern w:val="0"/>
                <w:sz w:val="15"/>
                <w:szCs w:val="15"/>
              </w:rPr>
              <w:t>、</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,24)</w:instrText>
            </w:r>
            <w:r>
              <w:rPr>
                <w:rFonts w:hint="eastAsia" w:ascii="宋体" w:hAnsi="宋体" w:cs="宋体"/>
                <w:kern w:val="0"/>
                <w:sz w:val="15"/>
                <w:szCs w:val="15"/>
              </w:rPr>
              <w:fldChar w:fldCharType="end"/>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126</w:t>
            </w: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宝屋巷</w:t>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127</w:t>
            </w:r>
          </w:p>
        </w:tc>
        <w:tc>
          <w:tcPr>
            <w:tcW w:w="930"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宝屋巷、祥和路</w:t>
            </w:r>
          </w:p>
        </w:tc>
      </w:tr>
      <w:tr>
        <w:tblPrEx>
          <w:tblCellMar>
            <w:top w:w="0" w:type="dxa"/>
            <w:left w:w="108" w:type="dxa"/>
            <w:bottom w:w="0" w:type="dxa"/>
            <w:right w:w="108" w:type="dxa"/>
          </w:tblCellMar>
        </w:tblPrEx>
        <w:trPr>
          <w:trHeight w:val="570" w:hRule="atLeast"/>
        </w:trPr>
        <w:tc>
          <w:tcPr>
            <w:tcW w:w="199" w:type="pc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104</w:t>
            </w:r>
          </w:p>
        </w:tc>
        <w:tc>
          <w:tcPr>
            <w:tcW w:w="119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北门街金虹巷</w:t>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123</w:t>
            </w: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,22)</w:instrText>
            </w:r>
            <w:r>
              <w:rPr>
                <w:rFonts w:hint="eastAsia" w:ascii="宋体" w:hAnsi="宋体" w:cs="宋体"/>
                <w:kern w:val="0"/>
                <w:sz w:val="15"/>
                <w:szCs w:val="15"/>
              </w:rPr>
              <w:fldChar w:fldCharType="end"/>
            </w:r>
            <w:r>
              <w:rPr>
                <w:rFonts w:hint="eastAsia" w:ascii="宋体" w:hAnsi="宋体" w:cs="宋体"/>
                <w:kern w:val="0"/>
                <w:sz w:val="15"/>
                <w:szCs w:val="15"/>
              </w:rPr>
              <w:t>、</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,23)</w:instrText>
            </w:r>
            <w:r>
              <w:rPr>
                <w:rFonts w:hint="eastAsia" w:ascii="宋体" w:hAnsi="宋体" w:cs="宋体"/>
                <w:kern w:val="0"/>
                <w:sz w:val="15"/>
                <w:szCs w:val="15"/>
              </w:rPr>
              <w:fldChar w:fldCharType="end"/>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127</w:t>
            </w: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宝屋巷、祥和路</w:t>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128</w:t>
            </w:r>
          </w:p>
        </w:tc>
        <w:tc>
          <w:tcPr>
            <w:tcW w:w="930"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lang w:bidi="ar"/>
              </w:rPr>
              <w:t>宝屋巷、祥和路、长水路</w:t>
            </w:r>
          </w:p>
        </w:tc>
      </w:tr>
      <w:tr>
        <w:tblPrEx>
          <w:tblCellMar>
            <w:top w:w="0" w:type="dxa"/>
            <w:left w:w="108" w:type="dxa"/>
            <w:bottom w:w="0" w:type="dxa"/>
            <w:right w:w="108" w:type="dxa"/>
          </w:tblCellMar>
        </w:tblPrEx>
        <w:trPr>
          <w:trHeight w:val="315" w:hRule="atLeast"/>
        </w:trPr>
        <w:tc>
          <w:tcPr>
            <w:tcW w:w="199" w:type="pc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105</w:t>
            </w:r>
          </w:p>
        </w:tc>
        <w:tc>
          <w:tcPr>
            <w:tcW w:w="119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东岳巷、北门街金虹巷</w:t>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124</w:t>
            </w: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,25)</w:instrText>
            </w:r>
            <w:r>
              <w:rPr>
                <w:rFonts w:hint="eastAsia" w:ascii="宋体" w:hAnsi="宋体" w:cs="宋体"/>
                <w:kern w:val="0"/>
                <w:sz w:val="15"/>
                <w:szCs w:val="15"/>
              </w:rPr>
              <w:fldChar w:fldCharType="end"/>
            </w:r>
            <w:r>
              <w:rPr>
                <w:rFonts w:hint="eastAsia" w:ascii="宋体" w:hAnsi="宋体" w:cs="宋体"/>
                <w:kern w:val="0"/>
                <w:sz w:val="15"/>
                <w:szCs w:val="15"/>
              </w:rPr>
              <w:t>、</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,26)</w:instrText>
            </w:r>
            <w:r>
              <w:rPr>
                <w:rFonts w:hint="eastAsia" w:ascii="宋体" w:hAnsi="宋体" w:cs="宋体"/>
                <w:kern w:val="0"/>
                <w:sz w:val="15"/>
                <w:szCs w:val="15"/>
              </w:rPr>
              <w:fldChar w:fldCharType="end"/>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128</w:t>
            </w: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lang w:bidi="ar"/>
              </w:rPr>
              <w:t>宝屋巷、祥和路、长水路</w:t>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129</w:t>
            </w:r>
          </w:p>
        </w:tc>
        <w:tc>
          <w:tcPr>
            <w:tcW w:w="930"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长水路、祥和路、</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,27)</w:instrText>
            </w:r>
            <w:r>
              <w:rPr>
                <w:rFonts w:hint="eastAsia" w:ascii="宋体" w:hAnsi="宋体" w:cs="宋体"/>
                <w:kern w:val="0"/>
                <w:sz w:val="15"/>
                <w:szCs w:val="15"/>
              </w:rPr>
              <w:fldChar w:fldCharType="end"/>
            </w:r>
          </w:p>
        </w:tc>
      </w:tr>
      <w:tr>
        <w:tblPrEx>
          <w:tblCellMar>
            <w:top w:w="0" w:type="dxa"/>
            <w:left w:w="108" w:type="dxa"/>
            <w:bottom w:w="0" w:type="dxa"/>
            <w:right w:w="108" w:type="dxa"/>
          </w:tblCellMar>
        </w:tblPrEx>
        <w:trPr>
          <w:trHeight w:val="582" w:hRule="atLeast"/>
        </w:trPr>
        <w:tc>
          <w:tcPr>
            <w:tcW w:w="199" w:type="pc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106</w:t>
            </w:r>
          </w:p>
        </w:tc>
        <w:tc>
          <w:tcPr>
            <w:tcW w:w="119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东岳巷</w:t>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126</w:t>
            </w: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宝屋巷</w:t>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129</w:t>
            </w: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3"/>
                <w:szCs w:val="13"/>
              </w:rPr>
            </w:pPr>
            <w:r>
              <w:rPr>
                <w:rFonts w:hint="eastAsia" w:ascii="宋体" w:hAnsi="宋体" w:cs="宋体"/>
                <w:kern w:val="0"/>
                <w:sz w:val="15"/>
                <w:szCs w:val="15"/>
              </w:rPr>
              <w:t>长水路、祥和路、</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,27)</w:instrText>
            </w:r>
            <w:r>
              <w:rPr>
                <w:rFonts w:hint="eastAsia" w:ascii="宋体" w:hAnsi="宋体" w:cs="宋体"/>
                <w:kern w:val="0"/>
                <w:sz w:val="15"/>
                <w:szCs w:val="15"/>
              </w:rPr>
              <w:fldChar w:fldCharType="end"/>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130</w:t>
            </w:r>
          </w:p>
        </w:tc>
        <w:tc>
          <w:tcPr>
            <w:tcW w:w="930"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长水路、祥和路、吉祥路、</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,27)</w:instrText>
            </w:r>
            <w:r>
              <w:rPr>
                <w:rFonts w:hint="eastAsia" w:ascii="宋体" w:hAnsi="宋体" w:cs="宋体"/>
                <w:kern w:val="0"/>
                <w:sz w:val="15"/>
                <w:szCs w:val="15"/>
              </w:rPr>
              <w:fldChar w:fldCharType="end"/>
            </w:r>
          </w:p>
        </w:tc>
      </w:tr>
      <w:tr>
        <w:tblPrEx>
          <w:tblCellMar>
            <w:top w:w="0" w:type="dxa"/>
            <w:left w:w="108" w:type="dxa"/>
            <w:bottom w:w="0" w:type="dxa"/>
            <w:right w:w="108" w:type="dxa"/>
          </w:tblCellMar>
        </w:tblPrEx>
        <w:trPr>
          <w:trHeight w:val="315" w:hRule="atLeast"/>
        </w:trPr>
        <w:tc>
          <w:tcPr>
            <w:tcW w:w="199" w:type="pc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107</w:t>
            </w:r>
          </w:p>
        </w:tc>
        <w:tc>
          <w:tcPr>
            <w:tcW w:w="119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金虹路、东岳巷</w:t>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127</w:t>
            </w: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宝屋巷、祥和路</w:t>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130</w:t>
            </w: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3"/>
                <w:szCs w:val="13"/>
              </w:rPr>
            </w:pPr>
            <w:r>
              <w:rPr>
                <w:rFonts w:hint="eastAsia" w:ascii="宋体" w:hAnsi="宋体" w:cs="宋体"/>
                <w:kern w:val="0"/>
                <w:sz w:val="15"/>
                <w:szCs w:val="15"/>
              </w:rPr>
              <w:t>长水路、祥和路、吉祥路、</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,27)</w:instrText>
            </w:r>
            <w:r>
              <w:rPr>
                <w:rFonts w:hint="eastAsia" w:ascii="宋体" w:hAnsi="宋体" w:cs="宋体"/>
                <w:kern w:val="0"/>
                <w:sz w:val="15"/>
                <w:szCs w:val="15"/>
              </w:rPr>
              <w:fldChar w:fldCharType="end"/>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131-132</w:t>
            </w:r>
          </w:p>
        </w:tc>
        <w:tc>
          <w:tcPr>
            <w:tcW w:w="930"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民主路、祥和路、吉祥路、</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,27)</w:instrText>
            </w:r>
            <w:r>
              <w:rPr>
                <w:rFonts w:hint="eastAsia" w:ascii="宋体" w:hAnsi="宋体" w:cs="宋体"/>
                <w:kern w:val="0"/>
                <w:sz w:val="15"/>
                <w:szCs w:val="15"/>
              </w:rPr>
              <w:fldChar w:fldCharType="end"/>
            </w:r>
          </w:p>
        </w:tc>
      </w:tr>
      <w:tr>
        <w:tblPrEx>
          <w:tblCellMar>
            <w:top w:w="0" w:type="dxa"/>
            <w:left w:w="108" w:type="dxa"/>
            <w:bottom w:w="0" w:type="dxa"/>
            <w:right w:w="108" w:type="dxa"/>
          </w:tblCellMar>
        </w:tblPrEx>
        <w:trPr>
          <w:trHeight w:val="315" w:hRule="atLeast"/>
        </w:trPr>
        <w:tc>
          <w:tcPr>
            <w:tcW w:w="199" w:type="pc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108</w:t>
            </w:r>
          </w:p>
        </w:tc>
        <w:tc>
          <w:tcPr>
            <w:tcW w:w="119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金虹路、文智巷</w:t>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128</w:t>
            </w: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lang w:bidi="ar"/>
              </w:rPr>
              <w:t>宝屋巷、祥和路、长水路</w:t>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131-132</w:t>
            </w: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3"/>
                <w:szCs w:val="13"/>
              </w:rPr>
            </w:pPr>
            <w:r>
              <w:rPr>
                <w:rFonts w:hint="eastAsia" w:ascii="宋体" w:hAnsi="宋体" w:cs="宋体"/>
                <w:kern w:val="0"/>
                <w:sz w:val="15"/>
                <w:szCs w:val="15"/>
              </w:rPr>
              <w:t>民主路、祥和路、吉祥路、</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,27)</w:instrText>
            </w:r>
            <w:r>
              <w:rPr>
                <w:rFonts w:hint="eastAsia" w:ascii="宋体" w:hAnsi="宋体" w:cs="宋体"/>
                <w:kern w:val="0"/>
                <w:sz w:val="15"/>
                <w:szCs w:val="15"/>
              </w:rPr>
              <w:fldChar w:fldCharType="end"/>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133</w:t>
            </w:r>
          </w:p>
        </w:tc>
        <w:tc>
          <w:tcPr>
            <w:tcW w:w="930"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光义街光碧巷、民主路、长水路</w:t>
            </w:r>
          </w:p>
        </w:tc>
      </w:tr>
      <w:tr>
        <w:tblPrEx>
          <w:tblCellMar>
            <w:top w:w="0" w:type="dxa"/>
            <w:left w:w="108" w:type="dxa"/>
            <w:bottom w:w="0" w:type="dxa"/>
            <w:right w:w="108" w:type="dxa"/>
          </w:tblCellMar>
        </w:tblPrEx>
        <w:trPr>
          <w:trHeight w:val="315" w:hRule="atLeast"/>
        </w:trPr>
        <w:tc>
          <w:tcPr>
            <w:tcW w:w="199" w:type="pc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109</w:t>
            </w:r>
          </w:p>
        </w:tc>
        <w:tc>
          <w:tcPr>
            <w:tcW w:w="119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金虹路、东岳巷</w:t>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129</w:t>
            </w: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长水路、祥和路、</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,27)</w:instrText>
            </w:r>
            <w:r>
              <w:rPr>
                <w:rFonts w:hint="eastAsia" w:ascii="宋体" w:hAnsi="宋体" w:cs="宋体"/>
                <w:kern w:val="0"/>
                <w:sz w:val="15"/>
                <w:szCs w:val="15"/>
              </w:rPr>
              <w:fldChar w:fldCharType="end"/>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133</w:t>
            </w: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光义街光碧巷、民主路、长水路</w:t>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134</w:t>
            </w:r>
          </w:p>
        </w:tc>
        <w:tc>
          <w:tcPr>
            <w:tcW w:w="930"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金星巷</w:t>
            </w:r>
          </w:p>
        </w:tc>
      </w:tr>
      <w:tr>
        <w:tblPrEx>
          <w:tblCellMar>
            <w:top w:w="0" w:type="dxa"/>
            <w:left w:w="108" w:type="dxa"/>
            <w:bottom w:w="0" w:type="dxa"/>
            <w:right w:w="108" w:type="dxa"/>
          </w:tblCellMar>
        </w:tblPrEx>
        <w:trPr>
          <w:trHeight w:val="315" w:hRule="atLeast"/>
        </w:trPr>
        <w:tc>
          <w:tcPr>
            <w:tcW w:w="199" w:type="pc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110</w:t>
            </w:r>
          </w:p>
        </w:tc>
        <w:tc>
          <w:tcPr>
            <w:tcW w:w="119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玉缘路、金虹巷</w:t>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130</w:t>
            </w: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3"/>
                <w:szCs w:val="13"/>
              </w:rPr>
            </w:pPr>
            <w:r>
              <w:rPr>
                <w:rFonts w:hint="eastAsia" w:ascii="宋体" w:hAnsi="宋体" w:cs="宋体"/>
                <w:kern w:val="0"/>
                <w:sz w:val="15"/>
                <w:szCs w:val="15"/>
              </w:rPr>
              <w:t>长水路、祥和路、吉祥路、</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,27)</w:instrText>
            </w:r>
            <w:r>
              <w:rPr>
                <w:rFonts w:hint="eastAsia" w:ascii="宋体" w:hAnsi="宋体" w:cs="宋体"/>
                <w:kern w:val="0"/>
                <w:sz w:val="15"/>
                <w:szCs w:val="15"/>
              </w:rPr>
              <w:fldChar w:fldCharType="end"/>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134</w:t>
            </w: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金星巷</w:t>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136</w:t>
            </w:r>
          </w:p>
        </w:tc>
        <w:tc>
          <w:tcPr>
            <w:tcW w:w="930"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官院巷、光义街金星巷、</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,28)</w:instrText>
            </w:r>
            <w:r>
              <w:rPr>
                <w:rFonts w:hint="eastAsia" w:ascii="宋体" w:hAnsi="宋体" w:cs="宋体"/>
                <w:kern w:val="0"/>
                <w:sz w:val="15"/>
                <w:szCs w:val="15"/>
              </w:rPr>
              <w:fldChar w:fldCharType="end"/>
            </w:r>
          </w:p>
        </w:tc>
      </w:tr>
      <w:tr>
        <w:tblPrEx>
          <w:tblCellMar>
            <w:top w:w="0" w:type="dxa"/>
            <w:left w:w="108" w:type="dxa"/>
            <w:bottom w:w="0" w:type="dxa"/>
            <w:right w:w="108" w:type="dxa"/>
          </w:tblCellMar>
        </w:tblPrEx>
        <w:trPr>
          <w:trHeight w:val="315" w:hRule="atLeast"/>
        </w:trPr>
        <w:tc>
          <w:tcPr>
            <w:tcW w:w="199" w:type="pc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111</w:t>
            </w:r>
          </w:p>
        </w:tc>
        <w:tc>
          <w:tcPr>
            <w:tcW w:w="119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玉缘路、北门坡、金虹巷</w:t>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131-132</w:t>
            </w: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3"/>
                <w:szCs w:val="13"/>
              </w:rPr>
            </w:pPr>
            <w:r>
              <w:rPr>
                <w:rFonts w:hint="eastAsia" w:ascii="宋体" w:hAnsi="宋体" w:cs="宋体"/>
                <w:kern w:val="0"/>
                <w:sz w:val="15"/>
                <w:szCs w:val="15"/>
              </w:rPr>
              <w:t>民主路、祥和路、吉祥路、</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,27)</w:instrText>
            </w:r>
            <w:r>
              <w:rPr>
                <w:rFonts w:hint="eastAsia" w:ascii="宋体" w:hAnsi="宋体" w:cs="宋体"/>
                <w:kern w:val="0"/>
                <w:sz w:val="15"/>
                <w:szCs w:val="15"/>
              </w:rPr>
              <w:fldChar w:fldCharType="end"/>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136</w:t>
            </w: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官院巷、光义街金星巷、</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,28)</w:instrText>
            </w:r>
            <w:r>
              <w:rPr>
                <w:rFonts w:hint="eastAsia" w:ascii="宋体" w:hAnsi="宋体" w:cs="宋体"/>
                <w:kern w:val="0"/>
                <w:sz w:val="15"/>
                <w:szCs w:val="15"/>
              </w:rPr>
              <w:fldChar w:fldCharType="end"/>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137</w:t>
            </w:r>
          </w:p>
        </w:tc>
        <w:tc>
          <w:tcPr>
            <w:tcW w:w="930"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新华街黄山上段</w:t>
            </w:r>
          </w:p>
        </w:tc>
      </w:tr>
      <w:tr>
        <w:tblPrEx>
          <w:tblCellMar>
            <w:top w:w="0" w:type="dxa"/>
            <w:left w:w="108" w:type="dxa"/>
            <w:bottom w:w="0" w:type="dxa"/>
            <w:right w:w="108" w:type="dxa"/>
          </w:tblCellMar>
        </w:tblPrEx>
        <w:trPr>
          <w:trHeight w:val="315" w:hRule="atLeast"/>
        </w:trPr>
        <w:tc>
          <w:tcPr>
            <w:tcW w:w="199" w:type="pc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112</w:t>
            </w:r>
          </w:p>
        </w:tc>
        <w:tc>
          <w:tcPr>
            <w:tcW w:w="119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金虹巷、北门坡</w:t>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133</w:t>
            </w: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光义街光碧巷、民主路、长水路</w:t>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137</w:t>
            </w: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新华街黄山上段</w:t>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138</w:t>
            </w:r>
          </w:p>
        </w:tc>
        <w:tc>
          <w:tcPr>
            <w:tcW w:w="930"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狮山路、</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,29)</w:instrText>
            </w:r>
            <w:r>
              <w:rPr>
                <w:rFonts w:hint="eastAsia" w:ascii="宋体" w:hAnsi="宋体" w:cs="宋体"/>
                <w:kern w:val="0"/>
                <w:sz w:val="15"/>
                <w:szCs w:val="15"/>
              </w:rPr>
              <w:fldChar w:fldCharType="end"/>
            </w:r>
          </w:p>
        </w:tc>
      </w:tr>
      <w:tr>
        <w:tblPrEx>
          <w:tblCellMar>
            <w:top w:w="0" w:type="dxa"/>
            <w:left w:w="108" w:type="dxa"/>
            <w:bottom w:w="0" w:type="dxa"/>
            <w:right w:w="108" w:type="dxa"/>
          </w:tblCellMar>
        </w:tblPrEx>
        <w:trPr>
          <w:trHeight w:val="315" w:hRule="atLeast"/>
        </w:trPr>
        <w:tc>
          <w:tcPr>
            <w:tcW w:w="199" w:type="pc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113</w:t>
            </w:r>
          </w:p>
        </w:tc>
        <w:tc>
          <w:tcPr>
            <w:tcW w:w="119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北门坡、</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,19)</w:instrText>
            </w:r>
            <w:r>
              <w:rPr>
                <w:rFonts w:hint="eastAsia" w:ascii="宋体" w:hAnsi="宋体" w:cs="宋体"/>
                <w:kern w:val="0"/>
                <w:sz w:val="15"/>
                <w:szCs w:val="15"/>
              </w:rPr>
              <w:fldChar w:fldCharType="end"/>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134</w:t>
            </w: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金星巷</w:t>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138</w:t>
            </w: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狮山路、</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,29)</w:instrText>
            </w:r>
            <w:r>
              <w:rPr>
                <w:rFonts w:hint="eastAsia" w:ascii="宋体" w:hAnsi="宋体" w:cs="宋体"/>
                <w:kern w:val="0"/>
                <w:sz w:val="15"/>
                <w:szCs w:val="15"/>
              </w:rPr>
              <w:fldChar w:fldCharType="end"/>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139-140</w:t>
            </w:r>
          </w:p>
        </w:tc>
        <w:tc>
          <w:tcPr>
            <w:tcW w:w="930"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狮山路、民主路、新华街黄山上段</w:t>
            </w:r>
          </w:p>
        </w:tc>
      </w:tr>
      <w:tr>
        <w:tblPrEx>
          <w:tblCellMar>
            <w:top w:w="0" w:type="dxa"/>
            <w:left w:w="108" w:type="dxa"/>
            <w:bottom w:w="0" w:type="dxa"/>
            <w:right w:w="108" w:type="dxa"/>
          </w:tblCellMar>
        </w:tblPrEx>
        <w:trPr>
          <w:trHeight w:val="315" w:hRule="atLeast"/>
        </w:trPr>
        <w:tc>
          <w:tcPr>
            <w:tcW w:w="199" w:type="pc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114</w:t>
            </w:r>
          </w:p>
        </w:tc>
        <w:tc>
          <w:tcPr>
            <w:tcW w:w="119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,21)</w:instrText>
            </w:r>
            <w:r>
              <w:rPr>
                <w:rFonts w:hint="eastAsia" w:ascii="宋体" w:hAnsi="宋体" w:cs="宋体"/>
                <w:kern w:val="0"/>
                <w:sz w:val="15"/>
                <w:szCs w:val="15"/>
              </w:rPr>
              <w:fldChar w:fldCharType="end"/>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136</w:t>
            </w: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官院巷、光义街金星巷、</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,28)</w:instrText>
            </w:r>
            <w:r>
              <w:rPr>
                <w:rFonts w:hint="eastAsia" w:ascii="宋体" w:hAnsi="宋体" w:cs="宋体"/>
                <w:kern w:val="0"/>
                <w:sz w:val="15"/>
                <w:szCs w:val="15"/>
              </w:rPr>
              <w:fldChar w:fldCharType="end"/>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139-140</w:t>
            </w: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狮山路、民主路、新华街黄山上段</w:t>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141</w:t>
            </w:r>
          </w:p>
        </w:tc>
        <w:tc>
          <w:tcPr>
            <w:tcW w:w="930"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狮山路、新华街黄山上段</w:t>
            </w:r>
          </w:p>
        </w:tc>
      </w:tr>
      <w:tr>
        <w:tblPrEx>
          <w:tblCellMar>
            <w:top w:w="0" w:type="dxa"/>
            <w:left w:w="108" w:type="dxa"/>
            <w:bottom w:w="0" w:type="dxa"/>
            <w:right w:w="108" w:type="dxa"/>
          </w:tblCellMar>
        </w:tblPrEx>
        <w:trPr>
          <w:trHeight w:val="315" w:hRule="atLeast"/>
        </w:trPr>
        <w:tc>
          <w:tcPr>
            <w:tcW w:w="199" w:type="pc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115</w:t>
            </w:r>
          </w:p>
        </w:tc>
        <w:tc>
          <w:tcPr>
            <w:tcW w:w="119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北门坡、</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,19)</w:instrText>
            </w:r>
            <w:r>
              <w:rPr>
                <w:rFonts w:hint="eastAsia" w:ascii="宋体" w:hAnsi="宋体" w:cs="宋体"/>
                <w:kern w:val="0"/>
                <w:sz w:val="15"/>
                <w:szCs w:val="15"/>
              </w:rPr>
              <w:fldChar w:fldCharType="end"/>
            </w:r>
            <w:r>
              <w:rPr>
                <w:rFonts w:hint="eastAsia" w:ascii="宋体" w:hAnsi="宋体" w:cs="宋体"/>
                <w:kern w:val="0"/>
                <w:sz w:val="15"/>
                <w:szCs w:val="15"/>
              </w:rPr>
              <w:t>、</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,20)</w:instrText>
            </w:r>
            <w:r>
              <w:rPr>
                <w:rFonts w:hint="eastAsia" w:ascii="宋体" w:hAnsi="宋体" w:cs="宋体"/>
                <w:kern w:val="0"/>
                <w:sz w:val="15"/>
                <w:szCs w:val="15"/>
              </w:rPr>
              <w:fldChar w:fldCharType="end"/>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137</w:t>
            </w: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新华街黄山上段</w:t>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141</w:t>
            </w: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狮山路、新华街黄山上段</w:t>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142-143</w:t>
            </w:r>
          </w:p>
        </w:tc>
        <w:tc>
          <w:tcPr>
            <w:tcW w:w="930"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狮山路、民主路</w:t>
            </w:r>
          </w:p>
        </w:tc>
      </w:tr>
      <w:tr>
        <w:tblPrEx>
          <w:tblCellMar>
            <w:top w:w="0" w:type="dxa"/>
            <w:left w:w="108" w:type="dxa"/>
            <w:bottom w:w="0" w:type="dxa"/>
            <w:right w:w="108" w:type="dxa"/>
          </w:tblCellMar>
        </w:tblPrEx>
        <w:trPr>
          <w:trHeight w:val="315" w:hRule="atLeast"/>
        </w:trPr>
        <w:tc>
          <w:tcPr>
            <w:tcW w:w="199" w:type="pc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116</w:t>
            </w:r>
          </w:p>
        </w:tc>
        <w:tc>
          <w:tcPr>
            <w:tcW w:w="119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北门坡、</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,20)</w:instrText>
            </w:r>
            <w:r>
              <w:rPr>
                <w:rFonts w:hint="eastAsia" w:ascii="宋体" w:hAnsi="宋体" w:cs="宋体"/>
                <w:kern w:val="0"/>
                <w:sz w:val="15"/>
                <w:szCs w:val="15"/>
              </w:rPr>
              <w:fldChar w:fldCharType="end"/>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138</w:t>
            </w: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狮山路、</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,29)</w:instrText>
            </w:r>
            <w:r>
              <w:rPr>
                <w:rFonts w:hint="eastAsia" w:ascii="宋体" w:hAnsi="宋体" w:cs="宋体"/>
                <w:kern w:val="0"/>
                <w:sz w:val="15"/>
                <w:szCs w:val="15"/>
              </w:rPr>
              <w:fldChar w:fldCharType="end"/>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142-143</w:t>
            </w: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狮山路、民主路</w:t>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144</w:t>
            </w:r>
          </w:p>
        </w:tc>
        <w:tc>
          <w:tcPr>
            <w:tcW w:w="930"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狮山路、新华街黄山上段</w:t>
            </w:r>
          </w:p>
        </w:tc>
      </w:tr>
      <w:tr>
        <w:tblPrEx>
          <w:tblCellMar>
            <w:top w:w="0" w:type="dxa"/>
            <w:left w:w="108" w:type="dxa"/>
            <w:bottom w:w="0" w:type="dxa"/>
            <w:right w:w="108" w:type="dxa"/>
          </w:tblCellMar>
        </w:tblPrEx>
        <w:trPr>
          <w:trHeight w:val="315" w:hRule="atLeast"/>
        </w:trPr>
        <w:tc>
          <w:tcPr>
            <w:tcW w:w="199" w:type="pc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117</w:t>
            </w:r>
          </w:p>
        </w:tc>
        <w:tc>
          <w:tcPr>
            <w:tcW w:w="119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北门坡、</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,22)</w:instrText>
            </w:r>
            <w:r>
              <w:rPr>
                <w:rFonts w:hint="eastAsia" w:ascii="宋体" w:hAnsi="宋体" w:cs="宋体"/>
                <w:kern w:val="0"/>
                <w:sz w:val="15"/>
                <w:szCs w:val="15"/>
              </w:rPr>
              <w:fldChar w:fldCharType="end"/>
            </w:r>
            <w:r>
              <w:rPr>
                <w:rFonts w:hint="eastAsia" w:ascii="宋体" w:hAnsi="宋体" w:cs="宋体"/>
                <w:kern w:val="0"/>
                <w:sz w:val="15"/>
                <w:szCs w:val="15"/>
              </w:rPr>
              <w:t>、</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,23)</w:instrText>
            </w:r>
            <w:r>
              <w:rPr>
                <w:rFonts w:hint="eastAsia" w:ascii="宋体" w:hAnsi="宋体" w:cs="宋体"/>
                <w:kern w:val="0"/>
                <w:sz w:val="15"/>
                <w:szCs w:val="15"/>
              </w:rPr>
              <w:fldChar w:fldCharType="end"/>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120</w:t>
            </w: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3"/>
                <w:szCs w:val="13"/>
              </w:rPr>
            </w:pP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,23)</w:instrText>
            </w:r>
            <w:r>
              <w:rPr>
                <w:rFonts w:hint="eastAsia" w:ascii="宋体" w:hAnsi="宋体" w:cs="宋体"/>
                <w:kern w:val="0"/>
                <w:sz w:val="15"/>
                <w:szCs w:val="15"/>
              </w:rPr>
              <w:fldChar w:fldCharType="end"/>
            </w:r>
            <w:r>
              <w:rPr>
                <w:rFonts w:hint="eastAsia" w:ascii="宋体" w:hAnsi="宋体" w:cs="宋体"/>
                <w:kern w:val="0"/>
                <w:sz w:val="15"/>
                <w:szCs w:val="15"/>
              </w:rPr>
              <w:t>、</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,25)</w:instrText>
            </w:r>
            <w:r>
              <w:rPr>
                <w:rFonts w:hint="eastAsia" w:ascii="宋体" w:hAnsi="宋体" w:cs="宋体"/>
                <w:kern w:val="0"/>
                <w:sz w:val="15"/>
                <w:szCs w:val="15"/>
              </w:rPr>
              <w:fldChar w:fldCharType="end"/>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144</w:t>
            </w: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狮山路、新华街黄山上段</w:t>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145</w:t>
            </w:r>
          </w:p>
        </w:tc>
        <w:tc>
          <w:tcPr>
            <w:tcW w:w="930"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新华街（1）、狮山路</w:t>
            </w:r>
          </w:p>
        </w:tc>
      </w:tr>
      <w:tr>
        <w:tblPrEx>
          <w:tblCellMar>
            <w:top w:w="0" w:type="dxa"/>
            <w:left w:w="108" w:type="dxa"/>
            <w:bottom w:w="0" w:type="dxa"/>
            <w:right w:w="108" w:type="dxa"/>
          </w:tblCellMar>
        </w:tblPrEx>
        <w:trPr>
          <w:trHeight w:val="570" w:hRule="atLeast"/>
        </w:trPr>
        <w:tc>
          <w:tcPr>
            <w:tcW w:w="199" w:type="pc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118</w:t>
            </w:r>
          </w:p>
        </w:tc>
        <w:tc>
          <w:tcPr>
            <w:tcW w:w="119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玉缘路、</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,23)</w:instrText>
            </w:r>
            <w:r>
              <w:rPr>
                <w:rFonts w:hint="eastAsia" w:ascii="宋体" w:hAnsi="宋体" w:cs="宋体"/>
                <w:kern w:val="0"/>
                <w:sz w:val="15"/>
                <w:szCs w:val="15"/>
              </w:rPr>
              <w:fldChar w:fldCharType="end"/>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121</w:t>
            </w: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,25)</w:instrText>
            </w:r>
            <w:r>
              <w:rPr>
                <w:rFonts w:hint="eastAsia" w:ascii="宋体" w:hAnsi="宋体" w:cs="宋体"/>
                <w:kern w:val="0"/>
                <w:sz w:val="15"/>
                <w:szCs w:val="15"/>
              </w:rPr>
              <w:fldChar w:fldCharType="end"/>
            </w:r>
            <w:r>
              <w:rPr>
                <w:rFonts w:hint="eastAsia" w:ascii="宋体" w:hAnsi="宋体" w:cs="宋体"/>
                <w:kern w:val="0"/>
                <w:sz w:val="15"/>
                <w:szCs w:val="15"/>
              </w:rPr>
              <w:t>、</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,26)</w:instrText>
            </w:r>
            <w:r>
              <w:rPr>
                <w:rFonts w:hint="eastAsia" w:ascii="宋体" w:hAnsi="宋体" w:cs="宋体"/>
                <w:kern w:val="0"/>
                <w:sz w:val="15"/>
                <w:szCs w:val="15"/>
              </w:rPr>
              <w:fldChar w:fldCharType="end"/>
            </w:r>
            <w:r>
              <w:rPr>
                <w:rFonts w:hint="eastAsia" w:ascii="宋体" w:hAnsi="宋体" w:cs="宋体"/>
                <w:kern w:val="0"/>
                <w:sz w:val="15"/>
                <w:szCs w:val="15"/>
              </w:rPr>
              <w:t>、</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,24)</w:instrText>
            </w:r>
            <w:r>
              <w:rPr>
                <w:rFonts w:hint="eastAsia" w:ascii="宋体" w:hAnsi="宋体" w:cs="宋体"/>
                <w:kern w:val="0"/>
                <w:sz w:val="15"/>
                <w:szCs w:val="15"/>
              </w:rPr>
              <w:fldChar w:fldCharType="end"/>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145</w:t>
            </w: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新华街（1）、狮山路</w:t>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p>
        </w:tc>
        <w:tc>
          <w:tcPr>
            <w:tcW w:w="930"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r>
      <w:tr>
        <w:tblPrEx>
          <w:tblCellMar>
            <w:top w:w="0" w:type="dxa"/>
            <w:left w:w="108" w:type="dxa"/>
            <w:bottom w:w="0" w:type="dxa"/>
            <w:right w:w="108" w:type="dxa"/>
          </w:tblCellMar>
        </w:tblPrEx>
        <w:trPr>
          <w:trHeight w:val="501" w:hRule="atLeast"/>
        </w:trPr>
        <w:tc>
          <w:tcPr>
            <w:tcW w:w="199" w:type="pc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119</w:t>
            </w:r>
          </w:p>
        </w:tc>
        <w:tc>
          <w:tcPr>
            <w:tcW w:w="119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玉缘路、</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,23)</w:instrText>
            </w:r>
            <w:r>
              <w:rPr>
                <w:rFonts w:hint="eastAsia" w:ascii="宋体" w:hAnsi="宋体" w:cs="宋体"/>
                <w:kern w:val="0"/>
                <w:sz w:val="15"/>
                <w:szCs w:val="15"/>
              </w:rPr>
              <w:fldChar w:fldCharType="end"/>
            </w:r>
            <w:r>
              <w:rPr>
                <w:rFonts w:hint="eastAsia" w:ascii="宋体" w:hAnsi="宋体" w:cs="宋体"/>
                <w:kern w:val="0"/>
                <w:sz w:val="15"/>
                <w:szCs w:val="15"/>
              </w:rPr>
              <w:t>、</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,26)</w:instrText>
            </w:r>
            <w:r>
              <w:rPr>
                <w:rFonts w:hint="eastAsia" w:ascii="宋体" w:hAnsi="宋体" w:cs="宋体"/>
                <w:kern w:val="0"/>
                <w:sz w:val="15"/>
                <w:szCs w:val="15"/>
              </w:rPr>
              <w:fldChar w:fldCharType="end"/>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122</w:t>
            </w: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,23)</w:instrText>
            </w:r>
            <w:r>
              <w:rPr>
                <w:rFonts w:hint="eastAsia" w:ascii="宋体" w:hAnsi="宋体" w:cs="宋体"/>
                <w:kern w:val="0"/>
                <w:sz w:val="15"/>
                <w:szCs w:val="15"/>
              </w:rPr>
              <w:fldChar w:fldCharType="end"/>
            </w:r>
            <w:r>
              <w:rPr>
                <w:rFonts w:hint="eastAsia" w:ascii="宋体" w:hAnsi="宋体" w:cs="宋体"/>
                <w:kern w:val="0"/>
                <w:sz w:val="15"/>
                <w:szCs w:val="15"/>
              </w:rPr>
              <w:t>、</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,25)</w:instrText>
            </w:r>
            <w:r>
              <w:rPr>
                <w:rFonts w:hint="eastAsia" w:ascii="宋体" w:hAnsi="宋体" w:cs="宋体"/>
                <w:kern w:val="0"/>
                <w:sz w:val="15"/>
                <w:szCs w:val="15"/>
              </w:rPr>
              <w:fldChar w:fldCharType="end"/>
            </w:r>
            <w:r>
              <w:rPr>
                <w:rFonts w:hint="eastAsia" w:ascii="宋体" w:hAnsi="宋体" w:cs="宋体"/>
                <w:kern w:val="0"/>
                <w:sz w:val="15"/>
                <w:szCs w:val="15"/>
              </w:rPr>
              <w:t>、</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,24)</w:instrText>
            </w:r>
            <w:r>
              <w:rPr>
                <w:rFonts w:hint="eastAsia" w:ascii="宋体" w:hAnsi="宋体" w:cs="宋体"/>
                <w:kern w:val="0"/>
                <w:sz w:val="15"/>
                <w:szCs w:val="15"/>
              </w:rPr>
              <w:fldChar w:fldCharType="end"/>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123</w:t>
            </w: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,22)</w:instrText>
            </w:r>
            <w:r>
              <w:rPr>
                <w:rFonts w:hint="eastAsia" w:ascii="宋体" w:hAnsi="宋体" w:cs="宋体"/>
                <w:kern w:val="0"/>
                <w:sz w:val="15"/>
                <w:szCs w:val="15"/>
              </w:rPr>
              <w:fldChar w:fldCharType="end"/>
            </w:r>
            <w:r>
              <w:rPr>
                <w:rFonts w:hint="eastAsia" w:ascii="宋体" w:hAnsi="宋体" w:cs="宋体"/>
                <w:kern w:val="0"/>
                <w:sz w:val="15"/>
                <w:szCs w:val="15"/>
              </w:rPr>
              <w:t>、</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,23)</w:instrText>
            </w:r>
            <w:r>
              <w:rPr>
                <w:rFonts w:hint="eastAsia" w:ascii="宋体" w:hAnsi="宋体" w:cs="宋体"/>
                <w:kern w:val="0"/>
                <w:sz w:val="15"/>
                <w:szCs w:val="15"/>
              </w:rPr>
              <w:fldChar w:fldCharType="end"/>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p>
        </w:tc>
        <w:tc>
          <w:tcPr>
            <w:tcW w:w="930"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r>
      <w:tr>
        <w:tblPrEx>
          <w:tblCellMar>
            <w:top w:w="0" w:type="dxa"/>
            <w:left w:w="108" w:type="dxa"/>
            <w:bottom w:w="0" w:type="dxa"/>
            <w:right w:w="108" w:type="dxa"/>
          </w:tblCellMar>
        </w:tblPrEx>
        <w:trPr>
          <w:trHeight w:val="285" w:hRule="atLeast"/>
        </w:trPr>
        <w:tc>
          <w:tcPr>
            <w:tcW w:w="5000" w:type="pct"/>
            <w:gridSpan w:val="8"/>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kern w:val="0"/>
                <w:sz w:val="15"/>
                <w:szCs w:val="15"/>
              </w:rPr>
            </w:pPr>
            <w:r>
              <w:rPr>
                <w:rFonts w:hint="eastAsia" w:ascii="宋体" w:hAnsi="宋体" w:cs="宋体"/>
                <w:b/>
                <w:bCs/>
                <w:sz w:val="18"/>
                <w:szCs w:val="18"/>
              </w:rPr>
              <w:t>白沙分区表</w:t>
            </w:r>
          </w:p>
        </w:tc>
      </w:tr>
      <w:tr>
        <w:tblPrEx>
          <w:tblCellMar>
            <w:top w:w="0" w:type="dxa"/>
            <w:left w:w="108" w:type="dxa"/>
            <w:bottom w:w="0" w:type="dxa"/>
            <w:right w:w="108" w:type="dxa"/>
          </w:tblCellMar>
        </w:tblPrEx>
        <w:trPr>
          <w:trHeight w:val="285" w:hRule="atLeast"/>
        </w:trPr>
        <w:tc>
          <w:tcPr>
            <w:tcW w:w="19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区域</w:t>
            </w:r>
          </w:p>
        </w:tc>
        <w:tc>
          <w:tcPr>
            <w:tcW w:w="1198"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区域周围道路</w:t>
            </w:r>
          </w:p>
        </w:tc>
        <w:tc>
          <w:tcPr>
            <w:tcW w:w="252"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区域</w:t>
            </w:r>
          </w:p>
        </w:tc>
        <w:tc>
          <w:tcPr>
            <w:tcW w:w="95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区域周围道路</w:t>
            </w:r>
          </w:p>
        </w:tc>
        <w:tc>
          <w:tcPr>
            <w:tcW w:w="252"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区域</w:t>
            </w:r>
          </w:p>
        </w:tc>
        <w:tc>
          <w:tcPr>
            <w:tcW w:w="95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区域周围道路</w:t>
            </w:r>
          </w:p>
        </w:tc>
        <w:tc>
          <w:tcPr>
            <w:tcW w:w="252"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区域</w:t>
            </w:r>
          </w:p>
        </w:tc>
        <w:tc>
          <w:tcPr>
            <w:tcW w:w="929"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区域周围道路</w:t>
            </w:r>
          </w:p>
        </w:tc>
      </w:tr>
      <w:tr>
        <w:tblPrEx>
          <w:tblCellMar>
            <w:top w:w="0" w:type="dxa"/>
            <w:left w:w="108" w:type="dxa"/>
            <w:bottom w:w="0" w:type="dxa"/>
            <w:right w:w="108" w:type="dxa"/>
          </w:tblCellMar>
        </w:tblPrEx>
        <w:trPr>
          <w:trHeight w:val="369" w:hRule="atLeast"/>
        </w:trPr>
        <w:tc>
          <w:tcPr>
            <w:tcW w:w="199" w:type="pc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w:t>
            </w:r>
          </w:p>
        </w:tc>
        <w:tc>
          <w:tcPr>
            <w:tcW w:w="1198"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,1)</w:instrText>
            </w:r>
            <w:r>
              <w:rPr>
                <w:rFonts w:hint="eastAsia" w:ascii="宋体" w:hAnsi="宋体" w:cs="宋体"/>
                <w:kern w:val="0"/>
                <w:sz w:val="15"/>
                <w:szCs w:val="15"/>
              </w:rPr>
              <w:fldChar w:fldCharType="end"/>
            </w:r>
            <w:r>
              <w:rPr>
                <w:rFonts w:hint="eastAsia" w:ascii="宋体" w:hAnsi="宋体" w:cs="宋体"/>
                <w:kern w:val="0"/>
                <w:sz w:val="15"/>
                <w:szCs w:val="15"/>
              </w:rPr>
              <w:t>、</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,2)</w:instrText>
            </w:r>
            <w:r>
              <w:rPr>
                <w:rFonts w:hint="eastAsia" w:ascii="宋体" w:hAnsi="宋体" w:cs="宋体"/>
                <w:kern w:val="0"/>
                <w:sz w:val="15"/>
                <w:szCs w:val="15"/>
              </w:rPr>
              <w:fldChar w:fldCharType="end"/>
            </w:r>
            <w:r>
              <w:rPr>
                <w:rFonts w:hint="eastAsia" w:ascii="宋体" w:hAnsi="宋体" w:cs="宋体"/>
                <w:kern w:val="0"/>
                <w:sz w:val="15"/>
                <w:szCs w:val="15"/>
              </w:rPr>
              <w:t>、</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,3)</w:instrText>
            </w:r>
            <w:r>
              <w:rPr>
                <w:rFonts w:hint="eastAsia" w:ascii="宋体" w:hAnsi="宋体" w:cs="宋体"/>
                <w:kern w:val="0"/>
                <w:sz w:val="15"/>
                <w:szCs w:val="15"/>
              </w:rPr>
              <w:fldChar w:fldCharType="end"/>
            </w:r>
            <w:r>
              <w:rPr>
                <w:rFonts w:hint="eastAsia" w:ascii="宋体" w:hAnsi="宋体" w:cs="宋体"/>
                <w:kern w:val="0"/>
                <w:sz w:val="15"/>
                <w:szCs w:val="15"/>
              </w:rPr>
              <w:t>、向阳路</w:t>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20</w:t>
            </w: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,3)</w:instrText>
            </w:r>
            <w:r>
              <w:rPr>
                <w:rFonts w:hint="eastAsia" w:ascii="宋体" w:hAnsi="宋体" w:cs="宋体"/>
                <w:kern w:val="0"/>
                <w:sz w:val="15"/>
                <w:szCs w:val="15"/>
              </w:rPr>
              <w:fldChar w:fldCharType="end"/>
            </w:r>
            <w:r>
              <w:rPr>
                <w:rFonts w:hint="eastAsia" w:ascii="宋体" w:hAnsi="宋体" w:cs="宋体"/>
                <w:kern w:val="0"/>
                <w:sz w:val="15"/>
                <w:szCs w:val="15"/>
              </w:rPr>
              <w:t>、</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,4)</w:instrText>
            </w:r>
            <w:r>
              <w:rPr>
                <w:rFonts w:hint="eastAsia" w:ascii="宋体" w:hAnsi="宋体" w:cs="宋体"/>
                <w:kern w:val="0"/>
                <w:sz w:val="15"/>
                <w:szCs w:val="15"/>
              </w:rPr>
              <w:fldChar w:fldCharType="end"/>
            </w:r>
            <w:r>
              <w:rPr>
                <w:rFonts w:hint="eastAsia" w:ascii="宋体" w:hAnsi="宋体" w:cs="宋体"/>
                <w:kern w:val="0"/>
                <w:sz w:val="15"/>
                <w:szCs w:val="15"/>
              </w:rPr>
              <w:t>、</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,6)</w:instrText>
            </w:r>
            <w:r>
              <w:rPr>
                <w:rFonts w:hint="eastAsia" w:ascii="宋体" w:hAnsi="宋体" w:cs="宋体"/>
                <w:kern w:val="0"/>
                <w:sz w:val="15"/>
                <w:szCs w:val="15"/>
              </w:rPr>
              <w:fldChar w:fldCharType="end"/>
            </w:r>
            <w:r>
              <w:rPr>
                <w:rFonts w:hint="eastAsia" w:ascii="宋体" w:hAnsi="宋体" w:cs="宋体"/>
                <w:kern w:val="0"/>
                <w:sz w:val="15"/>
                <w:szCs w:val="15"/>
              </w:rPr>
              <w:t>、</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,8)</w:instrText>
            </w:r>
            <w:r>
              <w:rPr>
                <w:rFonts w:hint="eastAsia" w:ascii="宋体" w:hAnsi="宋体" w:cs="宋体"/>
                <w:kern w:val="0"/>
                <w:sz w:val="15"/>
                <w:szCs w:val="15"/>
              </w:rPr>
              <w:fldChar w:fldCharType="end"/>
            </w:r>
          </w:p>
        </w:tc>
        <w:tc>
          <w:tcPr>
            <w:tcW w:w="252"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252"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929"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r>
      <w:tr>
        <w:tblPrEx>
          <w:tblCellMar>
            <w:top w:w="0" w:type="dxa"/>
            <w:left w:w="108" w:type="dxa"/>
            <w:bottom w:w="0" w:type="dxa"/>
            <w:right w:w="108" w:type="dxa"/>
          </w:tblCellMar>
        </w:tblPrEx>
        <w:trPr>
          <w:trHeight w:val="600" w:hRule="atLeast"/>
        </w:trPr>
        <w:tc>
          <w:tcPr>
            <w:tcW w:w="199" w:type="pc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2</w:t>
            </w:r>
          </w:p>
        </w:tc>
        <w:tc>
          <w:tcPr>
            <w:tcW w:w="1198"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,1)</w:instrText>
            </w:r>
            <w:r>
              <w:rPr>
                <w:rFonts w:hint="eastAsia" w:ascii="宋体" w:hAnsi="宋体" w:cs="宋体"/>
                <w:kern w:val="0"/>
                <w:sz w:val="15"/>
                <w:szCs w:val="15"/>
              </w:rPr>
              <w:fldChar w:fldCharType="end"/>
            </w:r>
            <w:r>
              <w:rPr>
                <w:rFonts w:hint="eastAsia" w:ascii="宋体" w:hAnsi="宋体" w:cs="宋体"/>
                <w:kern w:val="0"/>
                <w:sz w:val="15"/>
                <w:szCs w:val="15"/>
              </w:rPr>
              <w:t>、</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,3)</w:instrText>
            </w:r>
            <w:r>
              <w:rPr>
                <w:rFonts w:hint="eastAsia" w:ascii="宋体" w:hAnsi="宋体" w:cs="宋体"/>
                <w:kern w:val="0"/>
                <w:sz w:val="15"/>
                <w:szCs w:val="15"/>
              </w:rPr>
              <w:fldChar w:fldCharType="end"/>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21</w:t>
            </w: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,3)</w:instrText>
            </w:r>
            <w:r>
              <w:rPr>
                <w:rFonts w:hint="eastAsia" w:ascii="宋体" w:hAnsi="宋体" w:cs="宋体"/>
                <w:kern w:val="0"/>
                <w:sz w:val="15"/>
                <w:szCs w:val="15"/>
              </w:rPr>
              <w:fldChar w:fldCharType="end"/>
            </w:r>
            <w:r>
              <w:rPr>
                <w:rFonts w:hint="eastAsia" w:ascii="宋体" w:hAnsi="宋体" w:cs="宋体"/>
                <w:kern w:val="0"/>
                <w:sz w:val="15"/>
                <w:szCs w:val="15"/>
              </w:rPr>
              <w:t>、</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,8)</w:instrText>
            </w:r>
            <w:r>
              <w:rPr>
                <w:rFonts w:hint="eastAsia" w:ascii="宋体" w:hAnsi="宋体" w:cs="宋体"/>
                <w:kern w:val="0"/>
                <w:sz w:val="15"/>
                <w:szCs w:val="15"/>
              </w:rPr>
              <w:fldChar w:fldCharType="end"/>
            </w:r>
            <w:r>
              <w:rPr>
                <w:rFonts w:hint="eastAsia" w:ascii="宋体" w:hAnsi="宋体" w:cs="宋体"/>
                <w:kern w:val="0"/>
                <w:sz w:val="15"/>
                <w:szCs w:val="15"/>
              </w:rPr>
              <w:t>、向阳路</w:t>
            </w:r>
          </w:p>
        </w:tc>
        <w:tc>
          <w:tcPr>
            <w:tcW w:w="252"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252"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929"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r>
      <w:tr>
        <w:tblPrEx>
          <w:tblCellMar>
            <w:top w:w="0" w:type="dxa"/>
            <w:left w:w="108" w:type="dxa"/>
            <w:bottom w:w="0" w:type="dxa"/>
            <w:right w:w="108" w:type="dxa"/>
          </w:tblCellMar>
        </w:tblPrEx>
        <w:trPr>
          <w:trHeight w:val="315" w:hRule="atLeast"/>
        </w:trPr>
        <w:tc>
          <w:tcPr>
            <w:tcW w:w="199" w:type="pc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3</w:t>
            </w:r>
          </w:p>
        </w:tc>
        <w:tc>
          <w:tcPr>
            <w:tcW w:w="1198"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,1)</w:instrText>
            </w:r>
            <w:r>
              <w:rPr>
                <w:rFonts w:hint="eastAsia" w:ascii="宋体" w:hAnsi="宋体" w:cs="宋体"/>
                <w:kern w:val="0"/>
                <w:sz w:val="15"/>
                <w:szCs w:val="15"/>
              </w:rPr>
              <w:fldChar w:fldCharType="end"/>
            </w:r>
            <w:r>
              <w:rPr>
                <w:rFonts w:hint="eastAsia" w:ascii="宋体" w:hAnsi="宋体" w:cs="宋体"/>
                <w:kern w:val="0"/>
                <w:sz w:val="15"/>
                <w:szCs w:val="15"/>
              </w:rPr>
              <w:t>、</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,3)</w:instrText>
            </w:r>
            <w:r>
              <w:rPr>
                <w:rFonts w:hint="eastAsia" w:ascii="宋体" w:hAnsi="宋体" w:cs="宋体"/>
                <w:kern w:val="0"/>
                <w:sz w:val="15"/>
                <w:szCs w:val="15"/>
              </w:rPr>
              <w:fldChar w:fldCharType="end"/>
            </w:r>
            <w:r>
              <w:rPr>
                <w:rFonts w:hint="eastAsia" w:ascii="宋体" w:hAnsi="宋体" w:cs="宋体"/>
                <w:kern w:val="0"/>
                <w:sz w:val="15"/>
                <w:szCs w:val="15"/>
              </w:rPr>
              <w:t>、</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,4)</w:instrText>
            </w:r>
            <w:r>
              <w:rPr>
                <w:rFonts w:hint="eastAsia" w:ascii="宋体" w:hAnsi="宋体" w:cs="宋体"/>
                <w:kern w:val="0"/>
                <w:sz w:val="15"/>
                <w:szCs w:val="15"/>
              </w:rPr>
              <w:fldChar w:fldCharType="end"/>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22</w:t>
            </w: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,2)</w:instrText>
            </w:r>
            <w:r>
              <w:rPr>
                <w:rFonts w:hint="eastAsia" w:ascii="宋体" w:hAnsi="宋体" w:cs="宋体"/>
                <w:kern w:val="0"/>
                <w:sz w:val="15"/>
                <w:szCs w:val="15"/>
              </w:rPr>
              <w:fldChar w:fldCharType="end"/>
            </w:r>
            <w:r>
              <w:rPr>
                <w:rFonts w:hint="eastAsia" w:ascii="宋体" w:hAnsi="宋体" w:cs="宋体"/>
                <w:kern w:val="0"/>
                <w:sz w:val="15"/>
                <w:szCs w:val="15"/>
              </w:rPr>
              <w:t>、</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,3)</w:instrText>
            </w:r>
            <w:r>
              <w:rPr>
                <w:rFonts w:hint="eastAsia" w:ascii="宋体" w:hAnsi="宋体" w:cs="宋体"/>
                <w:kern w:val="0"/>
                <w:sz w:val="15"/>
                <w:szCs w:val="15"/>
              </w:rPr>
              <w:fldChar w:fldCharType="end"/>
            </w:r>
            <w:r>
              <w:rPr>
                <w:rFonts w:hint="eastAsia" w:ascii="宋体" w:hAnsi="宋体" w:cs="宋体"/>
                <w:kern w:val="0"/>
                <w:sz w:val="15"/>
                <w:szCs w:val="15"/>
              </w:rPr>
              <w:t>、向阳路</w:t>
            </w:r>
          </w:p>
        </w:tc>
        <w:tc>
          <w:tcPr>
            <w:tcW w:w="252"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252"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929"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r>
      <w:tr>
        <w:tblPrEx>
          <w:tblCellMar>
            <w:top w:w="0" w:type="dxa"/>
            <w:left w:w="108" w:type="dxa"/>
            <w:bottom w:w="0" w:type="dxa"/>
            <w:right w:w="108" w:type="dxa"/>
          </w:tblCellMar>
        </w:tblPrEx>
        <w:trPr>
          <w:trHeight w:val="570" w:hRule="atLeast"/>
        </w:trPr>
        <w:tc>
          <w:tcPr>
            <w:tcW w:w="199" w:type="pc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4</w:t>
            </w:r>
          </w:p>
        </w:tc>
        <w:tc>
          <w:tcPr>
            <w:tcW w:w="1198"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,1)</w:instrText>
            </w:r>
            <w:r>
              <w:rPr>
                <w:rFonts w:hint="eastAsia" w:ascii="宋体" w:hAnsi="宋体" w:cs="宋体"/>
                <w:kern w:val="0"/>
                <w:sz w:val="15"/>
                <w:szCs w:val="15"/>
              </w:rPr>
              <w:fldChar w:fldCharType="end"/>
            </w:r>
            <w:r>
              <w:rPr>
                <w:rFonts w:hint="eastAsia" w:ascii="宋体" w:hAnsi="宋体" w:cs="宋体"/>
                <w:kern w:val="0"/>
                <w:sz w:val="15"/>
                <w:szCs w:val="15"/>
              </w:rPr>
              <w:t>、</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,3)</w:instrText>
            </w:r>
            <w:r>
              <w:rPr>
                <w:rFonts w:hint="eastAsia" w:ascii="宋体" w:hAnsi="宋体" w:cs="宋体"/>
                <w:kern w:val="0"/>
                <w:sz w:val="15"/>
                <w:szCs w:val="15"/>
              </w:rPr>
              <w:fldChar w:fldCharType="end"/>
            </w:r>
            <w:r>
              <w:rPr>
                <w:rFonts w:hint="eastAsia" w:ascii="宋体" w:hAnsi="宋体" w:cs="宋体"/>
                <w:kern w:val="0"/>
                <w:sz w:val="15"/>
                <w:szCs w:val="15"/>
              </w:rPr>
              <w:t>、</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,5)</w:instrText>
            </w:r>
            <w:r>
              <w:rPr>
                <w:rFonts w:hint="eastAsia" w:ascii="宋体" w:hAnsi="宋体" w:cs="宋体"/>
                <w:kern w:val="0"/>
                <w:sz w:val="15"/>
                <w:szCs w:val="15"/>
              </w:rPr>
              <w:fldChar w:fldCharType="end"/>
            </w:r>
            <w:r>
              <w:rPr>
                <w:rFonts w:hint="eastAsia" w:ascii="宋体" w:hAnsi="宋体" w:cs="宋体"/>
                <w:kern w:val="0"/>
                <w:sz w:val="15"/>
                <w:szCs w:val="15"/>
              </w:rPr>
              <w:t>、</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,6)</w:instrText>
            </w:r>
            <w:r>
              <w:rPr>
                <w:rFonts w:hint="eastAsia" w:ascii="宋体" w:hAnsi="宋体" w:cs="宋体"/>
                <w:kern w:val="0"/>
                <w:sz w:val="15"/>
                <w:szCs w:val="15"/>
              </w:rPr>
              <w:fldChar w:fldCharType="end"/>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23</w:t>
            </w: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向阳路、</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,5)</w:instrText>
            </w:r>
            <w:r>
              <w:rPr>
                <w:rFonts w:hint="eastAsia" w:ascii="宋体" w:hAnsi="宋体" w:cs="宋体"/>
                <w:kern w:val="0"/>
                <w:sz w:val="15"/>
                <w:szCs w:val="15"/>
              </w:rPr>
              <w:fldChar w:fldCharType="end"/>
            </w:r>
            <w:r>
              <w:rPr>
                <w:rFonts w:hint="eastAsia" w:ascii="宋体" w:hAnsi="宋体" w:cs="宋体"/>
                <w:kern w:val="0"/>
                <w:sz w:val="15"/>
                <w:szCs w:val="15"/>
              </w:rPr>
              <w:t>、</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,9)</w:instrText>
            </w:r>
            <w:r>
              <w:rPr>
                <w:rFonts w:hint="eastAsia" w:ascii="宋体" w:hAnsi="宋体" w:cs="宋体"/>
                <w:kern w:val="0"/>
                <w:sz w:val="15"/>
                <w:szCs w:val="15"/>
              </w:rPr>
              <w:fldChar w:fldCharType="end"/>
            </w:r>
          </w:p>
        </w:tc>
        <w:tc>
          <w:tcPr>
            <w:tcW w:w="252"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252"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929"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r>
      <w:tr>
        <w:tblPrEx>
          <w:tblCellMar>
            <w:top w:w="0" w:type="dxa"/>
            <w:left w:w="108" w:type="dxa"/>
            <w:bottom w:w="0" w:type="dxa"/>
            <w:right w:w="108" w:type="dxa"/>
          </w:tblCellMar>
        </w:tblPrEx>
        <w:trPr>
          <w:trHeight w:val="315" w:hRule="atLeast"/>
        </w:trPr>
        <w:tc>
          <w:tcPr>
            <w:tcW w:w="199" w:type="pc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5</w:t>
            </w:r>
          </w:p>
        </w:tc>
        <w:tc>
          <w:tcPr>
            <w:tcW w:w="1198"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,5)</w:instrText>
            </w:r>
            <w:r>
              <w:rPr>
                <w:rFonts w:hint="eastAsia" w:ascii="宋体" w:hAnsi="宋体" w:cs="宋体"/>
                <w:kern w:val="0"/>
                <w:sz w:val="15"/>
                <w:szCs w:val="15"/>
              </w:rPr>
              <w:fldChar w:fldCharType="end"/>
            </w:r>
            <w:r>
              <w:rPr>
                <w:rFonts w:hint="eastAsia" w:ascii="宋体" w:hAnsi="宋体" w:cs="宋体"/>
                <w:kern w:val="0"/>
                <w:sz w:val="15"/>
                <w:szCs w:val="15"/>
              </w:rPr>
              <w:t>、</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,6)</w:instrText>
            </w:r>
            <w:r>
              <w:rPr>
                <w:rFonts w:hint="eastAsia" w:ascii="宋体" w:hAnsi="宋体" w:cs="宋体"/>
                <w:kern w:val="0"/>
                <w:sz w:val="15"/>
                <w:szCs w:val="15"/>
              </w:rPr>
              <w:fldChar w:fldCharType="end"/>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24</w:t>
            </w: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,11)</w:instrText>
            </w:r>
            <w:r>
              <w:rPr>
                <w:rFonts w:hint="eastAsia" w:ascii="宋体" w:hAnsi="宋体" w:cs="宋体"/>
                <w:kern w:val="0"/>
                <w:sz w:val="15"/>
                <w:szCs w:val="15"/>
              </w:rPr>
              <w:fldChar w:fldCharType="end"/>
            </w:r>
            <w:r>
              <w:rPr>
                <w:rFonts w:hint="eastAsia" w:ascii="宋体" w:hAnsi="宋体" w:cs="宋体"/>
                <w:kern w:val="0"/>
                <w:sz w:val="15"/>
                <w:szCs w:val="15"/>
              </w:rPr>
              <w:t>、</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,10)</w:instrText>
            </w:r>
            <w:r>
              <w:rPr>
                <w:rFonts w:hint="eastAsia" w:ascii="宋体" w:hAnsi="宋体" w:cs="宋体"/>
                <w:kern w:val="0"/>
                <w:sz w:val="15"/>
                <w:szCs w:val="15"/>
              </w:rPr>
              <w:fldChar w:fldCharType="end"/>
            </w:r>
            <w:r>
              <w:rPr>
                <w:rFonts w:hint="eastAsia" w:ascii="宋体" w:hAnsi="宋体" w:cs="宋体"/>
                <w:kern w:val="0"/>
                <w:sz w:val="15"/>
                <w:szCs w:val="15"/>
              </w:rPr>
              <w:t>、白沙段</w:t>
            </w:r>
          </w:p>
        </w:tc>
        <w:tc>
          <w:tcPr>
            <w:tcW w:w="252"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252"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929"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r>
      <w:tr>
        <w:tblPrEx>
          <w:tblCellMar>
            <w:top w:w="0" w:type="dxa"/>
            <w:left w:w="108" w:type="dxa"/>
            <w:bottom w:w="0" w:type="dxa"/>
            <w:right w:w="108" w:type="dxa"/>
          </w:tblCellMar>
        </w:tblPrEx>
        <w:trPr>
          <w:trHeight w:val="582" w:hRule="atLeast"/>
        </w:trPr>
        <w:tc>
          <w:tcPr>
            <w:tcW w:w="199" w:type="pc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6</w:t>
            </w:r>
          </w:p>
        </w:tc>
        <w:tc>
          <w:tcPr>
            <w:tcW w:w="1198"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,1)</w:instrText>
            </w:r>
            <w:r>
              <w:rPr>
                <w:rFonts w:hint="eastAsia" w:ascii="宋体" w:hAnsi="宋体" w:cs="宋体"/>
                <w:kern w:val="0"/>
                <w:sz w:val="15"/>
                <w:szCs w:val="15"/>
              </w:rPr>
              <w:fldChar w:fldCharType="end"/>
            </w:r>
            <w:r>
              <w:rPr>
                <w:rFonts w:hint="eastAsia" w:ascii="宋体" w:hAnsi="宋体" w:cs="宋体"/>
                <w:kern w:val="0"/>
                <w:sz w:val="15"/>
                <w:szCs w:val="15"/>
              </w:rPr>
              <w:t>、</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,4)</w:instrText>
            </w:r>
            <w:r>
              <w:rPr>
                <w:rFonts w:hint="eastAsia" w:ascii="宋体" w:hAnsi="宋体" w:cs="宋体"/>
                <w:kern w:val="0"/>
                <w:sz w:val="15"/>
                <w:szCs w:val="15"/>
              </w:rPr>
              <w:fldChar w:fldCharType="end"/>
            </w:r>
            <w:r>
              <w:rPr>
                <w:rFonts w:hint="eastAsia" w:ascii="宋体" w:hAnsi="宋体" w:cs="宋体"/>
                <w:kern w:val="0"/>
                <w:sz w:val="15"/>
                <w:szCs w:val="15"/>
              </w:rPr>
              <w:t>、</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,6)</w:instrText>
            </w:r>
            <w:r>
              <w:rPr>
                <w:rFonts w:hint="eastAsia" w:ascii="宋体" w:hAnsi="宋体" w:cs="宋体"/>
                <w:kern w:val="0"/>
                <w:sz w:val="15"/>
                <w:szCs w:val="15"/>
              </w:rPr>
              <w:fldChar w:fldCharType="end"/>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25</w:t>
            </w: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,11)</w:instrText>
            </w:r>
            <w:r>
              <w:rPr>
                <w:rFonts w:hint="eastAsia" w:ascii="宋体" w:hAnsi="宋体" w:cs="宋体"/>
                <w:kern w:val="0"/>
                <w:sz w:val="15"/>
                <w:szCs w:val="15"/>
              </w:rPr>
              <w:fldChar w:fldCharType="end"/>
            </w:r>
            <w:r>
              <w:rPr>
                <w:rFonts w:hint="eastAsia" w:ascii="宋体" w:hAnsi="宋体" w:cs="宋体"/>
                <w:kern w:val="0"/>
                <w:sz w:val="15"/>
                <w:szCs w:val="15"/>
              </w:rPr>
              <w:t>、</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,1)</w:instrText>
            </w:r>
            <w:r>
              <w:rPr>
                <w:rFonts w:hint="eastAsia" w:ascii="宋体" w:hAnsi="宋体" w:cs="宋体"/>
                <w:kern w:val="0"/>
                <w:sz w:val="15"/>
                <w:szCs w:val="15"/>
              </w:rPr>
              <w:fldChar w:fldCharType="end"/>
            </w:r>
            <w:r>
              <w:rPr>
                <w:rFonts w:hint="eastAsia" w:ascii="宋体" w:hAnsi="宋体" w:cs="宋体"/>
                <w:kern w:val="0"/>
                <w:sz w:val="15"/>
                <w:szCs w:val="15"/>
              </w:rPr>
              <w:t>、</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,18)</w:instrText>
            </w:r>
            <w:r>
              <w:rPr>
                <w:rFonts w:hint="eastAsia" w:ascii="宋体" w:hAnsi="宋体" w:cs="宋体"/>
                <w:kern w:val="0"/>
                <w:sz w:val="15"/>
                <w:szCs w:val="15"/>
              </w:rPr>
              <w:fldChar w:fldCharType="end"/>
            </w:r>
            <w:r>
              <w:rPr>
                <w:rFonts w:hint="eastAsia" w:ascii="宋体" w:hAnsi="宋体" w:cs="宋体"/>
                <w:kern w:val="0"/>
                <w:sz w:val="15"/>
                <w:szCs w:val="15"/>
              </w:rPr>
              <w:t>、</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,19)</w:instrText>
            </w:r>
            <w:r>
              <w:rPr>
                <w:rFonts w:hint="eastAsia" w:ascii="宋体" w:hAnsi="宋体" w:cs="宋体"/>
                <w:kern w:val="0"/>
                <w:sz w:val="15"/>
                <w:szCs w:val="15"/>
              </w:rPr>
              <w:fldChar w:fldCharType="end"/>
            </w:r>
          </w:p>
        </w:tc>
        <w:tc>
          <w:tcPr>
            <w:tcW w:w="252"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252"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929"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r>
      <w:tr>
        <w:tblPrEx>
          <w:tblCellMar>
            <w:top w:w="0" w:type="dxa"/>
            <w:left w:w="108" w:type="dxa"/>
            <w:bottom w:w="0" w:type="dxa"/>
            <w:right w:w="108" w:type="dxa"/>
          </w:tblCellMar>
        </w:tblPrEx>
        <w:trPr>
          <w:trHeight w:val="315" w:hRule="atLeast"/>
        </w:trPr>
        <w:tc>
          <w:tcPr>
            <w:tcW w:w="199" w:type="pc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7</w:t>
            </w:r>
          </w:p>
        </w:tc>
        <w:tc>
          <w:tcPr>
            <w:tcW w:w="1198"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,6)</w:instrText>
            </w:r>
            <w:r>
              <w:rPr>
                <w:rFonts w:hint="eastAsia" w:ascii="宋体" w:hAnsi="宋体" w:cs="宋体"/>
                <w:kern w:val="0"/>
                <w:sz w:val="15"/>
                <w:szCs w:val="15"/>
              </w:rPr>
              <w:fldChar w:fldCharType="end"/>
            </w:r>
            <w:r>
              <w:rPr>
                <w:rFonts w:hint="eastAsia" w:ascii="宋体" w:hAnsi="宋体" w:cs="宋体"/>
                <w:kern w:val="0"/>
                <w:sz w:val="15"/>
                <w:szCs w:val="15"/>
              </w:rPr>
              <w:t>、</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,1)</w:instrText>
            </w:r>
            <w:r>
              <w:rPr>
                <w:rFonts w:hint="eastAsia" w:ascii="宋体" w:hAnsi="宋体" w:cs="宋体"/>
                <w:kern w:val="0"/>
                <w:sz w:val="15"/>
                <w:szCs w:val="15"/>
              </w:rPr>
              <w:fldChar w:fldCharType="end"/>
            </w:r>
            <w:r>
              <w:rPr>
                <w:rFonts w:hint="eastAsia" w:ascii="宋体" w:hAnsi="宋体" w:cs="宋体"/>
                <w:kern w:val="0"/>
                <w:sz w:val="15"/>
                <w:szCs w:val="15"/>
              </w:rPr>
              <w:t>、</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,7)</w:instrText>
            </w:r>
            <w:r>
              <w:rPr>
                <w:rFonts w:hint="eastAsia" w:ascii="宋体" w:hAnsi="宋体" w:cs="宋体"/>
                <w:kern w:val="0"/>
                <w:sz w:val="15"/>
                <w:szCs w:val="15"/>
              </w:rPr>
              <w:fldChar w:fldCharType="end"/>
            </w:r>
            <w:r>
              <w:rPr>
                <w:rFonts w:hint="eastAsia" w:ascii="宋体" w:hAnsi="宋体" w:cs="宋体"/>
                <w:kern w:val="0"/>
                <w:sz w:val="15"/>
                <w:szCs w:val="15"/>
              </w:rPr>
              <w:t>、</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,9)</w:instrText>
            </w:r>
            <w:r>
              <w:rPr>
                <w:rFonts w:hint="eastAsia" w:ascii="宋体" w:hAnsi="宋体" w:cs="宋体"/>
                <w:kern w:val="0"/>
                <w:sz w:val="15"/>
                <w:szCs w:val="15"/>
              </w:rPr>
              <w:fldChar w:fldCharType="end"/>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26</w:t>
            </w: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,1)</w:instrText>
            </w:r>
            <w:r>
              <w:rPr>
                <w:rFonts w:hint="eastAsia" w:ascii="宋体" w:hAnsi="宋体" w:cs="宋体"/>
                <w:kern w:val="0"/>
                <w:sz w:val="15"/>
                <w:szCs w:val="15"/>
              </w:rPr>
              <w:fldChar w:fldCharType="end"/>
            </w:r>
            <w:r>
              <w:rPr>
                <w:rFonts w:hint="eastAsia" w:ascii="宋体" w:hAnsi="宋体" w:cs="宋体"/>
                <w:kern w:val="0"/>
                <w:sz w:val="15"/>
                <w:szCs w:val="15"/>
              </w:rPr>
              <w:t>、</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,19)</w:instrText>
            </w:r>
            <w:r>
              <w:rPr>
                <w:rFonts w:hint="eastAsia" w:ascii="宋体" w:hAnsi="宋体" w:cs="宋体"/>
                <w:kern w:val="0"/>
                <w:sz w:val="15"/>
                <w:szCs w:val="15"/>
              </w:rPr>
              <w:fldChar w:fldCharType="end"/>
            </w:r>
            <w:r>
              <w:rPr>
                <w:rFonts w:hint="eastAsia" w:ascii="宋体" w:hAnsi="宋体" w:cs="宋体"/>
                <w:kern w:val="0"/>
                <w:sz w:val="15"/>
                <w:szCs w:val="15"/>
              </w:rPr>
              <w:t>、</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,20)</w:instrText>
            </w:r>
            <w:r>
              <w:rPr>
                <w:rFonts w:hint="eastAsia" w:ascii="宋体" w:hAnsi="宋体" w:cs="宋体"/>
                <w:kern w:val="0"/>
                <w:sz w:val="15"/>
                <w:szCs w:val="15"/>
              </w:rPr>
              <w:fldChar w:fldCharType="end"/>
            </w:r>
            <w:r>
              <w:rPr>
                <w:rFonts w:hint="eastAsia" w:ascii="宋体" w:hAnsi="宋体" w:cs="宋体"/>
                <w:kern w:val="0"/>
                <w:sz w:val="15"/>
                <w:szCs w:val="15"/>
              </w:rPr>
              <w:t>、</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,21)</w:instrText>
            </w:r>
            <w:r>
              <w:rPr>
                <w:rFonts w:hint="eastAsia" w:ascii="宋体" w:hAnsi="宋体" w:cs="宋体"/>
                <w:kern w:val="0"/>
                <w:sz w:val="15"/>
                <w:szCs w:val="15"/>
              </w:rPr>
              <w:fldChar w:fldCharType="end"/>
            </w:r>
          </w:p>
        </w:tc>
        <w:tc>
          <w:tcPr>
            <w:tcW w:w="252"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252"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929"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r>
      <w:tr>
        <w:tblPrEx>
          <w:tblCellMar>
            <w:top w:w="0" w:type="dxa"/>
            <w:left w:w="108" w:type="dxa"/>
            <w:bottom w:w="0" w:type="dxa"/>
            <w:right w:w="108" w:type="dxa"/>
          </w:tblCellMar>
        </w:tblPrEx>
        <w:trPr>
          <w:trHeight w:val="315" w:hRule="atLeast"/>
        </w:trPr>
        <w:tc>
          <w:tcPr>
            <w:tcW w:w="199" w:type="pc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8</w:t>
            </w:r>
          </w:p>
        </w:tc>
        <w:tc>
          <w:tcPr>
            <w:tcW w:w="1198"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,1)</w:instrText>
            </w:r>
            <w:r>
              <w:rPr>
                <w:rFonts w:hint="eastAsia" w:ascii="宋体" w:hAnsi="宋体" w:cs="宋体"/>
                <w:kern w:val="0"/>
                <w:sz w:val="15"/>
                <w:szCs w:val="15"/>
              </w:rPr>
              <w:fldChar w:fldCharType="end"/>
            </w:r>
            <w:r>
              <w:rPr>
                <w:rFonts w:hint="eastAsia" w:ascii="宋体" w:hAnsi="宋体" w:cs="宋体"/>
                <w:kern w:val="0"/>
                <w:sz w:val="15"/>
                <w:szCs w:val="15"/>
              </w:rPr>
              <w:t>、</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,5)</w:instrText>
            </w:r>
            <w:r>
              <w:rPr>
                <w:rFonts w:hint="eastAsia" w:ascii="宋体" w:hAnsi="宋体" w:cs="宋体"/>
                <w:kern w:val="0"/>
                <w:sz w:val="15"/>
                <w:szCs w:val="15"/>
              </w:rPr>
              <w:fldChar w:fldCharType="end"/>
            </w:r>
            <w:r>
              <w:rPr>
                <w:rFonts w:hint="eastAsia" w:ascii="宋体" w:hAnsi="宋体" w:cs="宋体"/>
                <w:kern w:val="0"/>
                <w:sz w:val="15"/>
                <w:szCs w:val="15"/>
              </w:rPr>
              <w:t>、</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,6)</w:instrText>
            </w:r>
            <w:r>
              <w:rPr>
                <w:rFonts w:hint="eastAsia" w:ascii="宋体" w:hAnsi="宋体" w:cs="宋体"/>
                <w:kern w:val="0"/>
                <w:sz w:val="15"/>
                <w:szCs w:val="15"/>
              </w:rPr>
              <w:fldChar w:fldCharType="end"/>
            </w:r>
            <w:r>
              <w:rPr>
                <w:rFonts w:hint="eastAsia" w:ascii="宋体" w:hAnsi="宋体" w:cs="宋体"/>
                <w:kern w:val="0"/>
                <w:sz w:val="15"/>
                <w:szCs w:val="15"/>
              </w:rPr>
              <w:t>、</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,9)</w:instrText>
            </w:r>
            <w:r>
              <w:rPr>
                <w:rFonts w:hint="eastAsia" w:ascii="宋体" w:hAnsi="宋体" w:cs="宋体"/>
                <w:kern w:val="0"/>
                <w:sz w:val="15"/>
                <w:szCs w:val="15"/>
              </w:rPr>
              <w:fldChar w:fldCharType="end"/>
            </w:r>
            <w:r>
              <w:rPr>
                <w:rFonts w:hint="eastAsia" w:ascii="宋体" w:hAnsi="宋体" w:cs="宋体"/>
                <w:kern w:val="0"/>
                <w:sz w:val="15"/>
                <w:szCs w:val="15"/>
              </w:rPr>
              <w:t xml:space="preserve"> </w:t>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27</w:t>
            </w: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,11)</w:instrText>
            </w:r>
            <w:r>
              <w:rPr>
                <w:rFonts w:hint="eastAsia" w:ascii="宋体" w:hAnsi="宋体" w:cs="宋体"/>
                <w:kern w:val="0"/>
                <w:sz w:val="15"/>
                <w:szCs w:val="15"/>
              </w:rPr>
              <w:fldChar w:fldCharType="end"/>
            </w:r>
            <w:r>
              <w:rPr>
                <w:rFonts w:hint="eastAsia" w:ascii="宋体" w:hAnsi="宋体" w:cs="宋体"/>
                <w:kern w:val="0"/>
                <w:sz w:val="15"/>
                <w:szCs w:val="15"/>
              </w:rPr>
              <w:t>、</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,19)</w:instrText>
            </w:r>
            <w:r>
              <w:rPr>
                <w:rFonts w:hint="eastAsia" w:ascii="宋体" w:hAnsi="宋体" w:cs="宋体"/>
                <w:kern w:val="0"/>
                <w:sz w:val="15"/>
                <w:szCs w:val="15"/>
              </w:rPr>
              <w:fldChar w:fldCharType="end"/>
            </w:r>
            <w:r>
              <w:rPr>
                <w:rFonts w:hint="eastAsia" w:ascii="宋体" w:hAnsi="宋体" w:cs="宋体"/>
                <w:kern w:val="0"/>
                <w:sz w:val="15"/>
                <w:szCs w:val="15"/>
              </w:rPr>
              <w:t>、</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,20)</w:instrText>
            </w:r>
            <w:r>
              <w:rPr>
                <w:rFonts w:hint="eastAsia" w:ascii="宋体" w:hAnsi="宋体" w:cs="宋体"/>
                <w:kern w:val="0"/>
                <w:sz w:val="15"/>
                <w:szCs w:val="15"/>
              </w:rPr>
              <w:fldChar w:fldCharType="end"/>
            </w:r>
            <w:r>
              <w:rPr>
                <w:rFonts w:hint="eastAsia" w:ascii="宋体" w:hAnsi="宋体" w:cs="宋体"/>
                <w:kern w:val="0"/>
                <w:sz w:val="15"/>
                <w:szCs w:val="15"/>
              </w:rPr>
              <w:t>、</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,21)</w:instrText>
            </w:r>
            <w:r>
              <w:rPr>
                <w:rFonts w:hint="eastAsia" w:ascii="宋体" w:hAnsi="宋体" w:cs="宋体"/>
                <w:kern w:val="0"/>
                <w:sz w:val="15"/>
                <w:szCs w:val="15"/>
              </w:rPr>
              <w:fldChar w:fldCharType="end"/>
            </w:r>
          </w:p>
        </w:tc>
        <w:tc>
          <w:tcPr>
            <w:tcW w:w="252"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252"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929"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r>
      <w:tr>
        <w:tblPrEx>
          <w:tblCellMar>
            <w:top w:w="0" w:type="dxa"/>
            <w:left w:w="108" w:type="dxa"/>
            <w:bottom w:w="0" w:type="dxa"/>
            <w:right w:w="108" w:type="dxa"/>
          </w:tblCellMar>
        </w:tblPrEx>
        <w:trPr>
          <w:trHeight w:val="315" w:hRule="atLeast"/>
        </w:trPr>
        <w:tc>
          <w:tcPr>
            <w:tcW w:w="199" w:type="pc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9</w:t>
            </w:r>
          </w:p>
        </w:tc>
        <w:tc>
          <w:tcPr>
            <w:tcW w:w="1198"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,1)</w:instrText>
            </w:r>
            <w:r>
              <w:rPr>
                <w:rFonts w:hint="eastAsia" w:ascii="宋体" w:hAnsi="宋体" w:cs="宋体"/>
                <w:kern w:val="0"/>
                <w:sz w:val="15"/>
                <w:szCs w:val="15"/>
              </w:rPr>
              <w:fldChar w:fldCharType="end"/>
            </w:r>
            <w:r>
              <w:rPr>
                <w:rFonts w:hint="eastAsia" w:ascii="宋体" w:hAnsi="宋体" w:cs="宋体"/>
                <w:kern w:val="0"/>
                <w:sz w:val="15"/>
                <w:szCs w:val="15"/>
              </w:rPr>
              <w:t>、</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,9)</w:instrText>
            </w:r>
            <w:r>
              <w:rPr>
                <w:rFonts w:hint="eastAsia" w:ascii="宋体" w:hAnsi="宋体" w:cs="宋体"/>
                <w:kern w:val="0"/>
                <w:sz w:val="15"/>
                <w:szCs w:val="15"/>
              </w:rPr>
              <w:fldChar w:fldCharType="end"/>
            </w:r>
            <w:r>
              <w:rPr>
                <w:rFonts w:hint="eastAsia" w:ascii="宋体" w:hAnsi="宋体" w:cs="宋体"/>
                <w:kern w:val="0"/>
                <w:sz w:val="15"/>
                <w:szCs w:val="15"/>
              </w:rPr>
              <w:t>、</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,10)</w:instrText>
            </w:r>
            <w:r>
              <w:rPr>
                <w:rFonts w:hint="eastAsia" w:ascii="宋体" w:hAnsi="宋体" w:cs="宋体"/>
                <w:kern w:val="0"/>
                <w:sz w:val="15"/>
                <w:szCs w:val="15"/>
              </w:rPr>
              <w:fldChar w:fldCharType="end"/>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28</w:t>
            </w: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,6)</w:instrText>
            </w:r>
            <w:r>
              <w:rPr>
                <w:rFonts w:hint="eastAsia" w:ascii="宋体" w:hAnsi="宋体" w:cs="宋体"/>
                <w:kern w:val="0"/>
                <w:sz w:val="15"/>
                <w:szCs w:val="15"/>
              </w:rPr>
              <w:fldChar w:fldCharType="end"/>
            </w:r>
            <w:r>
              <w:rPr>
                <w:rFonts w:hint="eastAsia" w:ascii="宋体" w:hAnsi="宋体" w:cs="宋体"/>
                <w:kern w:val="0"/>
                <w:sz w:val="15"/>
                <w:szCs w:val="15"/>
              </w:rPr>
              <w:t>、</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,7)</w:instrText>
            </w:r>
            <w:r>
              <w:rPr>
                <w:rFonts w:hint="eastAsia" w:ascii="宋体" w:hAnsi="宋体" w:cs="宋体"/>
                <w:kern w:val="0"/>
                <w:sz w:val="15"/>
                <w:szCs w:val="15"/>
              </w:rPr>
              <w:fldChar w:fldCharType="end"/>
            </w:r>
            <w:r>
              <w:rPr>
                <w:rFonts w:hint="eastAsia" w:ascii="宋体" w:hAnsi="宋体" w:cs="宋体"/>
                <w:kern w:val="0"/>
                <w:sz w:val="15"/>
                <w:szCs w:val="15"/>
              </w:rPr>
              <w:t>、</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,8)</w:instrText>
            </w:r>
            <w:r>
              <w:rPr>
                <w:rFonts w:hint="eastAsia" w:ascii="宋体" w:hAnsi="宋体" w:cs="宋体"/>
                <w:kern w:val="0"/>
                <w:sz w:val="15"/>
                <w:szCs w:val="15"/>
              </w:rPr>
              <w:fldChar w:fldCharType="end"/>
            </w:r>
            <w:r>
              <w:rPr>
                <w:rFonts w:hint="eastAsia" w:ascii="宋体" w:hAnsi="宋体" w:cs="宋体"/>
                <w:kern w:val="0"/>
                <w:sz w:val="15"/>
                <w:szCs w:val="15"/>
              </w:rPr>
              <w:t>、</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,9)</w:instrText>
            </w:r>
            <w:r>
              <w:rPr>
                <w:rFonts w:hint="eastAsia" w:ascii="宋体" w:hAnsi="宋体" w:cs="宋体"/>
                <w:kern w:val="0"/>
                <w:sz w:val="15"/>
                <w:szCs w:val="15"/>
              </w:rPr>
              <w:fldChar w:fldCharType="end"/>
            </w:r>
          </w:p>
        </w:tc>
        <w:tc>
          <w:tcPr>
            <w:tcW w:w="252"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252"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929"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r>
      <w:tr>
        <w:tblPrEx>
          <w:tblCellMar>
            <w:top w:w="0" w:type="dxa"/>
            <w:left w:w="108" w:type="dxa"/>
            <w:bottom w:w="0" w:type="dxa"/>
            <w:right w:w="108" w:type="dxa"/>
          </w:tblCellMar>
        </w:tblPrEx>
        <w:trPr>
          <w:trHeight w:val="315" w:hRule="atLeast"/>
        </w:trPr>
        <w:tc>
          <w:tcPr>
            <w:tcW w:w="199" w:type="pc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10</w:t>
            </w:r>
          </w:p>
        </w:tc>
        <w:tc>
          <w:tcPr>
            <w:tcW w:w="1198"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,1)</w:instrText>
            </w:r>
            <w:r>
              <w:rPr>
                <w:rFonts w:hint="eastAsia" w:ascii="宋体" w:hAnsi="宋体" w:cs="宋体"/>
                <w:kern w:val="0"/>
                <w:sz w:val="15"/>
                <w:szCs w:val="15"/>
              </w:rPr>
              <w:fldChar w:fldCharType="end"/>
            </w:r>
            <w:r>
              <w:rPr>
                <w:rFonts w:hint="eastAsia" w:ascii="宋体" w:hAnsi="宋体" w:cs="宋体"/>
                <w:kern w:val="0"/>
                <w:sz w:val="15"/>
                <w:szCs w:val="15"/>
              </w:rPr>
              <w:t>、</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,9)</w:instrText>
            </w:r>
            <w:r>
              <w:rPr>
                <w:rFonts w:hint="eastAsia" w:ascii="宋体" w:hAnsi="宋体" w:cs="宋体"/>
                <w:kern w:val="0"/>
                <w:sz w:val="15"/>
                <w:szCs w:val="15"/>
              </w:rPr>
              <w:fldChar w:fldCharType="end"/>
            </w:r>
            <w:r>
              <w:rPr>
                <w:rFonts w:hint="eastAsia" w:ascii="宋体" w:hAnsi="宋体" w:cs="宋体"/>
                <w:kern w:val="0"/>
                <w:sz w:val="15"/>
                <w:szCs w:val="15"/>
              </w:rPr>
              <w:t>、</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,13)</w:instrText>
            </w:r>
            <w:r>
              <w:rPr>
                <w:rFonts w:hint="eastAsia" w:ascii="宋体" w:hAnsi="宋体" w:cs="宋体"/>
                <w:kern w:val="0"/>
                <w:sz w:val="15"/>
                <w:szCs w:val="15"/>
              </w:rPr>
              <w:fldChar w:fldCharType="end"/>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29</w:t>
            </w: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,13)</w:instrText>
            </w:r>
            <w:r>
              <w:rPr>
                <w:rFonts w:hint="eastAsia" w:ascii="宋体" w:hAnsi="宋体" w:cs="宋体"/>
                <w:kern w:val="0"/>
                <w:sz w:val="15"/>
                <w:szCs w:val="15"/>
              </w:rPr>
              <w:fldChar w:fldCharType="end"/>
            </w:r>
            <w:r>
              <w:rPr>
                <w:rFonts w:hint="eastAsia" w:ascii="宋体" w:hAnsi="宋体" w:cs="宋体"/>
                <w:kern w:val="0"/>
                <w:sz w:val="15"/>
                <w:szCs w:val="15"/>
              </w:rPr>
              <w:t>、</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,9)</w:instrText>
            </w:r>
            <w:r>
              <w:rPr>
                <w:rFonts w:hint="eastAsia" w:ascii="宋体" w:hAnsi="宋体" w:cs="宋体"/>
                <w:kern w:val="0"/>
                <w:sz w:val="15"/>
                <w:szCs w:val="15"/>
              </w:rPr>
              <w:fldChar w:fldCharType="end"/>
            </w:r>
          </w:p>
        </w:tc>
        <w:tc>
          <w:tcPr>
            <w:tcW w:w="252"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252"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929"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r>
      <w:tr>
        <w:tblPrEx>
          <w:tblCellMar>
            <w:top w:w="0" w:type="dxa"/>
            <w:left w:w="108" w:type="dxa"/>
            <w:bottom w:w="0" w:type="dxa"/>
            <w:right w:w="108" w:type="dxa"/>
          </w:tblCellMar>
        </w:tblPrEx>
        <w:trPr>
          <w:trHeight w:val="315" w:hRule="atLeast"/>
        </w:trPr>
        <w:tc>
          <w:tcPr>
            <w:tcW w:w="199" w:type="pc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11</w:t>
            </w:r>
          </w:p>
        </w:tc>
        <w:tc>
          <w:tcPr>
            <w:tcW w:w="1198"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,1)</w:instrText>
            </w:r>
            <w:r>
              <w:rPr>
                <w:rFonts w:hint="eastAsia" w:ascii="宋体" w:hAnsi="宋体" w:cs="宋体"/>
                <w:kern w:val="0"/>
                <w:sz w:val="15"/>
                <w:szCs w:val="15"/>
              </w:rPr>
              <w:fldChar w:fldCharType="end"/>
            </w:r>
            <w:r>
              <w:rPr>
                <w:rFonts w:hint="eastAsia" w:ascii="宋体" w:hAnsi="宋体" w:cs="宋体"/>
                <w:kern w:val="0"/>
                <w:sz w:val="15"/>
                <w:szCs w:val="15"/>
              </w:rPr>
              <w:t>、</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,13)</w:instrText>
            </w:r>
            <w:r>
              <w:rPr>
                <w:rFonts w:hint="eastAsia" w:ascii="宋体" w:hAnsi="宋体" w:cs="宋体"/>
                <w:kern w:val="0"/>
                <w:sz w:val="15"/>
                <w:szCs w:val="15"/>
              </w:rPr>
              <w:fldChar w:fldCharType="end"/>
            </w:r>
            <w:r>
              <w:rPr>
                <w:rFonts w:hint="eastAsia" w:ascii="宋体" w:hAnsi="宋体" w:cs="宋体"/>
                <w:kern w:val="0"/>
                <w:sz w:val="15"/>
                <w:szCs w:val="15"/>
              </w:rPr>
              <w:t>、</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,14)</w:instrText>
            </w:r>
            <w:r>
              <w:rPr>
                <w:rFonts w:hint="eastAsia" w:ascii="宋体" w:hAnsi="宋体" w:cs="宋体"/>
                <w:kern w:val="0"/>
                <w:sz w:val="15"/>
                <w:szCs w:val="15"/>
              </w:rPr>
              <w:fldChar w:fldCharType="end"/>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30</w:t>
            </w: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,14)</w:instrText>
            </w:r>
            <w:r>
              <w:rPr>
                <w:rFonts w:hint="eastAsia" w:ascii="宋体" w:hAnsi="宋体" w:cs="宋体"/>
                <w:kern w:val="0"/>
                <w:sz w:val="15"/>
                <w:szCs w:val="15"/>
              </w:rPr>
              <w:fldChar w:fldCharType="end"/>
            </w:r>
            <w:r>
              <w:rPr>
                <w:rFonts w:hint="eastAsia" w:ascii="宋体" w:hAnsi="宋体" w:cs="宋体"/>
                <w:kern w:val="0"/>
                <w:sz w:val="15"/>
                <w:szCs w:val="15"/>
              </w:rPr>
              <w:t>、</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,15)</w:instrText>
            </w:r>
            <w:r>
              <w:rPr>
                <w:rFonts w:hint="eastAsia" w:ascii="宋体" w:hAnsi="宋体" w:cs="宋体"/>
                <w:kern w:val="0"/>
                <w:sz w:val="15"/>
                <w:szCs w:val="15"/>
              </w:rPr>
              <w:fldChar w:fldCharType="end"/>
            </w:r>
            <w:r>
              <w:rPr>
                <w:rFonts w:hint="eastAsia" w:ascii="宋体" w:hAnsi="宋体" w:cs="宋体"/>
                <w:kern w:val="0"/>
                <w:sz w:val="15"/>
                <w:szCs w:val="15"/>
              </w:rPr>
              <w:t>、</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,17)</w:instrText>
            </w:r>
            <w:r>
              <w:rPr>
                <w:rFonts w:hint="eastAsia" w:ascii="宋体" w:hAnsi="宋体" w:cs="宋体"/>
                <w:kern w:val="0"/>
                <w:sz w:val="15"/>
                <w:szCs w:val="15"/>
              </w:rPr>
              <w:fldChar w:fldCharType="end"/>
            </w:r>
          </w:p>
        </w:tc>
        <w:tc>
          <w:tcPr>
            <w:tcW w:w="252"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252"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929"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r>
      <w:tr>
        <w:tblPrEx>
          <w:tblCellMar>
            <w:top w:w="0" w:type="dxa"/>
            <w:left w:w="108" w:type="dxa"/>
            <w:bottom w:w="0" w:type="dxa"/>
            <w:right w:w="108" w:type="dxa"/>
          </w:tblCellMar>
        </w:tblPrEx>
        <w:trPr>
          <w:trHeight w:val="315" w:hRule="atLeast"/>
        </w:trPr>
        <w:tc>
          <w:tcPr>
            <w:tcW w:w="199" w:type="pc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12</w:t>
            </w:r>
          </w:p>
        </w:tc>
        <w:tc>
          <w:tcPr>
            <w:tcW w:w="1198"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,1)</w:instrText>
            </w:r>
            <w:r>
              <w:rPr>
                <w:rFonts w:hint="eastAsia" w:ascii="宋体" w:hAnsi="宋体" w:cs="宋体"/>
                <w:kern w:val="0"/>
                <w:sz w:val="15"/>
                <w:szCs w:val="15"/>
              </w:rPr>
              <w:fldChar w:fldCharType="end"/>
            </w:r>
            <w:r>
              <w:rPr>
                <w:rFonts w:hint="eastAsia" w:ascii="宋体" w:hAnsi="宋体" w:cs="宋体"/>
                <w:kern w:val="0"/>
                <w:sz w:val="15"/>
                <w:szCs w:val="15"/>
              </w:rPr>
              <w:t>、</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,14)</w:instrText>
            </w:r>
            <w:r>
              <w:rPr>
                <w:rFonts w:hint="eastAsia" w:ascii="宋体" w:hAnsi="宋体" w:cs="宋体"/>
                <w:kern w:val="0"/>
                <w:sz w:val="15"/>
                <w:szCs w:val="15"/>
              </w:rPr>
              <w:fldChar w:fldCharType="end"/>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31</w:t>
            </w: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,10)</w:instrText>
            </w:r>
            <w:r>
              <w:rPr>
                <w:rFonts w:hint="eastAsia" w:ascii="宋体" w:hAnsi="宋体" w:cs="宋体"/>
                <w:kern w:val="0"/>
                <w:sz w:val="15"/>
                <w:szCs w:val="15"/>
              </w:rPr>
              <w:fldChar w:fldCharType="end"/>
            </w:r>
            <w:r>
              <w:rPr>
                <w:rFonts w:hint="eastAsia" w:ascii="宋体" w:hAnsi="宋体" w:cs="宋体"/>
                <w:kern w:val="0"/>
                <w:sz w:val="15"/>
                <w:szCs w:val="15"/>
              </w:rPr>
              <w:t>、</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,11)</w:instrText>
            </w:r>
            <w:r>
              <w:rPr>
                <w:rFonts w:hint="eastAsia" w:ascii="宋体" w:hAnsi="宋体" w:cs="宋体"/>
                <w:kern w:val="0"/>
                <w:sz w:val="15"/>
                <w:szCs w:val="15"/>
              </w:rPr>
              <w:fldChar w:fldCharType="end"/>
            </w:r>
          </w:p>
        </w:tc>
        <w:tc>
          <w:tcPr>
            <w:tcW w:w="252"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252"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929"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r>
      <w:tr>
        <w:tblPrEx>
          <w:tblCellMar>
            <w:top w:w="0" w:type="dxa"/>
            <w:left w:w="108" w:type="dxa"/>
            <w:bottom w:w="0" w:type="dxa"/>
            <w:right w:w="108" w:type="dxa"/>
          </w:tblCellMar>
        </w:tblPrEx>
        <w:trPr>
          <w:trHeight w:val="315" w:hRule="atLeast"/>
        </w:trPr>
        <w:tc>
          <w:tcPr>
            <w:tcW w:w="199" w:type="pc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13</w:t>
            </w:r>
          </w:p>
        </w:tc>
        <w:tc>
          <w:tcPr>
            <w:tcW w:w="1198"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,1)</w:instrText>
            </w:r>
            <w:r>
              <w:rPr>
                <w:rFonts w:hint="eastAsia" w:ascii="宋体" w:hAnsi="宋体" w:cs="宋体"/>
                <w:kern w:val="0"/>
                <w:sz w:val="15"/>
                <w:szCs w:val="15"/>
              </w:rPr>
              <w:fldChar w:fldCharType="end"/>
            </w:r>
            <w:r>
              <w:rPr>
                <w:rFonts w:hint="eastAsia" w:ascii="宋体" w:hAnsi="宋体" w:cs="宋体"/>
                <w:kern w:val="0"/>
                <w:sz w:val="15"/>
                <w:szCs w:val="15"/>
              </w:rPr>
              <w:t>、</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,11)</w:instrText>
            </w:r>
            <w:r>
              <w:rPr>
                <w:rFonts w:hint="eastAsia" w:ascii="宋体" w:hAnsi="宋体" w:cs="宋体"/>
                <w:kern w:val="0"/>
                <w:sz w:val="15"/>
                <w:szCs w:val="15"/>
              </w:rPr>
              <w:fldChar w:fldCharType="end"/>
            </w:r>
            <w:r>
              <w:rPr>
                <w:rFonts w:hint="eastAsia" w:ascii="宋体" w:hAnsi="宋体" w:cs="宋体"/>
                <w:kern w:val="0"/>
                <w:sz w:val="15"/>
                <w:szCs w:val="15"/>
              </w:rPr>
              <w:t>、</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,12)</w:instrText>
            </w:r>
            <w:r>
              <w:rPr>
                <w:rFonts w:hint="eastAsia" w:ascii="宋体" w:hAnsi="宋体" w:cs="宋体"/>
                <w:kern w:val="0"/>
                <w:sz w:val="15"/>
                <w:szCs w:val="15"/>
              </w:rPr>
              <w:fldChar w:fldCharType="end"/>
            </w:r>
            <w:r>
              <w:rPr>
                <w:rFonts w:hint="eastAsia" w:ascii="宋体" w:hAnsi="宋体" w:cs="宋体"/>
                <w:kern w:val="0"/>
                <w:sz w:val="15"/>
                <w:szCs w:val="15"/>
              </w:rPr>
              <w:t xml:space="preserve"> </w:t>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32</w:t>
            </w: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,11)</w:instrText>
            </w:r>
            <w:r>
              <w:rPr>
                <w:rFonts w:hint="eastAsia" w:ascii="宋体" w:hAnsi="宋体" w:cs="宋体"/>
                <w:kern w:val="0"/>
                <w:sz w:val="15"/>
                <w:szCs w:val="15"/>
              </w:rPr>
              <w:fldChar w:fldCharType="end"/>
            </w:r>
            <w:r>
              <w:rPr>
                <w:rFonts w:hint="eastAsia" w:ascii="宋体" w:hAnsi="宋体" w:cs="宋体"/>
                <w:kern w:val="0"/>
                <w:sz w:val="15"/>
                <w:szCs w:val="15"/>
              </w:rPr>
              <w:t>、</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,18)</w:instrText>
            </w:r>
            <w:r>
              <w:rPr>
                <w:rFonts w:hint="eastAsia" w:ascii="宋体" w:hAnsi="宋体" w:cs="宋体"/>
                <w:kern w:val="0"/>
                <w:sz w:val="15"/>
                <w:szCs w:val="15"/>
              </w:rPr>
              <w:fldChar w:fldCharType="end"/>
            </w:r>
          </w:p>
        </w:tc>
        <w:tc>
          <w:tcPr>
            <w:tcW w:w="252"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252"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929"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r>
      <w:tr>
        <w:tblPrEx>
          <w:tblCellMar>
            <w:top w:w="0" w:type="dxa"/>
            <w:left w:w="108" w:type="dxa"/>
            <w:bottom w:w="0" w:type="dxa"/>
            <w:right w:w="108" w:type="dxa"/>
          </w:tblCellMar>
        </w:tblPrEx>
        <w:trPr>
          <w:trHeight w:val="315" w:hRule="atLeast"/>
        </w:trPr>
        <w:tc>
          <w:tcPr>
            <w:tcW w:w="199" w:type="pc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14</w:t>
            </w:r>
          </w:p>
        </w:tc>
        <w:tc>
          <w:tcPr>
            <w:tcW w:w="1198"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,1)</w:instrText>
            </w:r>
            <w:r>
              <w:rPr>
                <w:rFonts w:hint="eastAsia" w:ascii="宋体" w:hAnsi="宋体" w:cs="宋体"/>
                <w:kern w:val="0"/>
                <w:sz w:val="15"/>
                <w:szCs w:val="15"/>
              </w:rPr>
              <w:fldChar w:fldCharType="end"/>
            </w:r>
            <w:r>
              <w:rPr>
                <w:rFonts w:hint="eastAsia" w:ascii="宋体" w:hAnsi="宋体" w:cs="宋体"/>
                <w:kern w:val="0"/>
                <w:sz w:val="15"/>
                <w:szCs w:val="15"/>
              </w:rPr>
              <w:t>、</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,16)</w:instrText>
            </w:r>
            <w:r>
              <w:rPr>
                <w:rFonts w:hint="eastAsia" w:ascii="宋体" w:hAnsi="宋体" w:cs="宋体"/>
                <w:kern w:val="0"/>
                <w:sz w:val="15"/>
                <w:szCs w:val="15"/>
              </w:rPr>
              <w:fldChar w:fldCharType="end"/>
            </w:r>
            <w:r>
              <w:rPr>
                <w:rFonts w:hint="eastAsia" w:ascii="宋体" w:hAnsi="宋体" w:cs="宋体"/>
                <w:kern w:val="0"/>
                <w:sz w:val="15"/>
                <w:szCs w:val="15"/>
              </w:rPr>
              <w:t>、</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,17)</w:instrText>
            </w:r>
            <w:r>
              <w:rPr>
                <w:rFonts w:hint="eastAsia" w:ascii="宋体" w:hAnsi="宋体" w:cs="宋体"/>
                <w:kern w:val="0"/>
                <w:sz w:val="15"/>
                <w:szCs w:val="15"/>
              </w:rPr>
              <w:fldChar w:fldCharType="end"/>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252"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252"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929"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r>
      <w:tr>
        <w:tblPrEx>
          <w:tblCellMar>
            <w:top w:w="0" w:type="dxa"/>
            <w:left w:w="108" w:type="dxa"/>
            <w:bottom w:w="0" w:type="dxa"/>
            <w:right w:w="108" w:type="dxa"/>
          </w:tblCellMar>
        </w:tblPrEx>
        <w:trPr>
          <w:trHeight w:val="315" w:hRule="atLeast"/>
        </w:trPr>
        <w:tc>
          <w:tcPr>
            <w:tcW w:w="199" w:type="pc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15</w:t>
            </w:r>
          </w:p>
        </w:tc>
        <w:tc>
          <w:tcPr>
            <w:tcW w:w="1198"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,16)</w:instrText>
            </w:r>
            <w:r>
              <w:rPr>
                <w:rFonts w:hint="eastAsia" w:ascii="宋体" w:hAnsi="宋体" w:cs="宋体"/>
                <w:kern w:val="0"/>
                <w:sz w:val="15"/>
                <w:szCs w:val="15"/>
              </w:rPr>
              <w:fldChar w:fldCharType="end"/>
            </w:r>
            <w:r>
              <w:rPr>
                <w:rFonts w:hint="eastAsia" w:ascii="宋体" w:hAnsi="宋体" w:cs="宋体"/>
                <w:kern w:val="0"/>
                <w:sz w:val="15"/>
                <w:szCs w:val="15"/>
              </w:rPr>
              <w:t>、</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,17)</w:instrText>
            </w:r>
            <w:r>
              <w:rPr>
                <w:rFonts w:hint="eastAsia" w:ascii="宋体" w:hAnsi="宋体" w:cs="宋体"/>
                <w:kern w:val="0"/>
                <w:sz w:val="15"/>
                <w:szCs w:val="15"/>
              </w:rPr>
              <w:fldChar w:fldCharType="end"/>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252"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252"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929"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r>
      <w:tr>
        <w:tblPrEx>
          <w:tblCellMar>
            <w:top w:w="0" w:type="dxa"/>
            <w:left w:w="108" w:type="dxa"/>
            <w:bottom w:w="0" w:type="dxa"/>
            <w:right w:w="108" w:type="dxa"/>
          </w:tblCellMar>
        </w:tblPrEx>
        <w:trPr>
          <w:trHeight w:val="315" w:hRule="atLeast"/>
        </w:trPr>
        <w:tc>
          <w:tcPr>
            <w:tcW w:w="199" w:type="pc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16</w:t>
            </w:r>
          </w:p>
        </w:tc>
        <w:tc>
          <w:tcPr>
            <w:tcW w:w="1198"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,15)</w:instrText>
            </w:r>
            <w:r>
              <w:rPr>
                <w:rFonts w:hint="eastAsia" w:ascii="宋体" w:hAnsi="宋体" w:cs="宋体"/>
                <w:kern w:val="0"/>
                <w:sz w:val="15"/>
                <w:szCs w:val="15"/>
              </w:rPr>
              <w:fldChar w:fldCharType="end"/>
            </w:r>
            <w:r>
              <w:rPr>
                <w:rFonts w:hint="eastAsia" w:ascii="宋体" w:hAnsi="宋体" w:cs="宋体"/>
                <w:kern w:val="0"/>
                <w:sz w:val="15"/>
                <w:szCs w:val="15"/>
              </w:rPr>
              <w:t>、</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,17)</w:instrText>
            </w:r>
            <w:r>
              <w:rPr>
                <w:rFonts w:hint="eastAsia" w:ascii="宋体" w:hAnsi="宋体" w:cs="宋体"/>
                <w:kern w:val="0"/>
                <w:sz w:val="15"/>
                <w:szCs w:val="15"/>
              </w:rPr>
              <w:fldChar w:fldCharType="end"/>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252"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252"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929"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r>
      <w:tr>
        <w:tblPrEx>
          <w:tblCellMar>
            <w:top w:w="0" w:type="dxa"/>
            <w:left w:w="108" w:type="dxa"/>
            <w:bottom w:w="0" w:type="dxa"/>
            <w:right w:w="108" w:type="dxa"/>
          </w:tblCellMar>
        </w:tblPrEx>
        <w:trPr>
          <w:trHeight w:val="315" w:hRule="atLeast"/>
        </w:trPr>
        <w:tc>
          <w:tcPr>
            <w:tcW w:w="199" w:type="pc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17</w:t>
            </w:r>
          </w:p>
        </w:tc>
        <w:tc>
          <w:tcPr>
            <w:tcW w:w="1198"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,15)</w:instrText>
            </w:r>
            <w:r>
              <w:rPr>
                <w:rFonts w:hint="eastAsia" w:ascii="宋体" w:hAnsi="宋体" w:cs="宋体"/>
                <w:kern w:val="0"/>
                <w:sz w:val="15"/>
                <w:szCs w:val="15"/>
              </w:rPr>
              <w:fldChar w:fldCharType="end"/>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252"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252"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929"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r>
      <w:tr>
        <w:tblPrEx>
          <w:tblCellMar>
            <w:top w:w="0" w:type="dxa"/>
            <w:left w:w="108" w:type="dxa"/>
            <w:bottom w:w="0" w:type="dxa"/>
            <w:right w:w="108" w:type="dxa"/>
          </w:tblCellMar>
        </w:tblPrEx>
        <w:trPr>
          <w:trHeight w:val="570" w:hRule="atLeast"/>
        </w:trPr>
        <w:tc>
          <w:tcPr>
            <w:tcW w:w="199" w:type="pc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18</w:t>
            </w:r>
          </w:p>
        </w:tc>
        <w:tc>
          <w:tcPr>
            <w:tcW w:w="1198"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,13)</w:instrText>
            </w:r>
            <w:r>
              <w:rPr>
                <w:rFonts w:hint="eastAsia" w:ascii="宋体" w:hAnsi="宋体" w:cs="宋体"/>
                <w:kern w:val="0"/>
                <w:sz w:val="15"/>
                <w:szCs w:val="15"/>
              </w:rPr>
              <w:fldChar w:fldCharType="end"/>
            </w:r>
            <w:r>
              <w:rPr>
                <w:rFonts w:hint="eastAsia" w:ascii="宋体" w:hAnsi="宋体" w:cs="宋体"/>
                <w:kern w:val="0"/>
                <w:sz w:val="15"/>
                <w:szCs w:val="15"/>
              </w:rPr>
              <w:t>、</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,15)</w:instrText>
            </w:r>
            <w:r>
              <w:rPr>
                <w:rFonts w:hint="eastAsia" w:ascii="宋体" w:hAnsi="宋体" w:cs="宋体"/>
                <w:kern w:val="0"/>
                <w:sz w:val="15"/>
                <w:szCs w:val="15"/>
              </w:rPr>
              <w:fldChar w:fldCharType="end"/>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252"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252"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929"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r>
      <w:tr>
        <w:tblPrEx>
          <w:tblCellMar>
            <w:top w:w="0" w:type="dxa"/>
            <w:left w:w="108" w:type="dxa"/>
            <w:bottom w:w="0" w:type="dxa"/>
            <w:right w:w="108" w:type="dxa"/>
          </w:tblCellMar>
        </w:tblPrEx>
        <w:trPr>
          <w:trHeight w:val="501" w:hRule="atLeast"/>
        </w:trPr>
        <w:tc>
          <w:tcPr>
            <w:tcW w:w="199" w:type="pc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19</w:t>
            </w:r>
          </w:p>
        </w:tc>
        <w:tc>
          <w:tcPr>
            <w:tcW w:w="1198"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,9)</w:instrText>
            </w:r>
            <w:r>
              <w:rPr>
                <w:rFonts w:hint="eastAsia" w:ascii="宋体" w:hAnsi="宋体" w:cs="宋体"/>
                <w:kern w:val="0"/>
                <w:sz w:val="15"/>
                <w:szCs w:val="15"/>
              </w:rPr>
              <w:fldChar w:fldCharType="end"/>
            </w:r>
            <w:r>
              <w:rPr>
                <w:rFonts w:hint="eastAsia" w:ascii="宋体" w:hAnsi="宋体" w:cs="宋体"/>
                <w:kern w:val="0"/>
                <w:sz w:val="15"/>
                <w:szCs w:val="15"/>
              </w:rPr>
              <w:t>、</w:t>
            </w:r>
            <w:r>
              <w:rPr>
                <w:rFonts w:hint="eastAsia" w:ascii="宋体" w:hAnsi="宋体" w:cs="宋体"/>
                <w:kern w:val="0"/>
                <w:sz w:val="15"/>
                <w:szCs w:val="15"/>
              </w:rPr>
              <w:fldChar w:fldCharType="begin"/>
            </w:r>
            <w:r>
              <w:rPr>
                <w:rFonts w:hint="eastAsia" w:ascii="宋体" w:hAnsi="宋体" w:cs="宋体"/>
                <w:kern w:val="0"/>
                <w:sz w:val="15"/>
                <w:szCs w:val="15"/>
              </w:rPr>
              <w:instrText xml:space="preserve"> 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,13)</w:instrText>
            </w:r>
            <w:r>
              <w:rPr>
                <w:rFonts w:hint="eastAsia" w:ascii="宋体" w:hAnsi="宋体" w:cs="宋体"/>
                <w:kern w:val="0"/>
                <w:sz w:val="15"/>
                <w:szCs w:val="15"/>
              </w:rPr>
              <w:fldChar w:fldCharType="end"/>
            </w:r>
          </w:p>
        </w:tc>
        <w:tc>
          <w:tcPr>
            <w:tcW w:w="252" w:type="pct"/>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252"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9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252"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929"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r>
      <w:tr>
        <w:tblPrEx>
          <w:tblCellMar>
            <w:top w:w="0" w:type="dxa"/>
            <w:left w:w="108" w:type="dxa"/>
            <w:bottom w:w="0" w:type="dxa"/>
            <w:right w:w="108" w:type="dxa"/>
          </w:tblCellMar>
        </w:tblPrEx>
        <w:trPr>
          <w:trHeight w:val="285" w:hRule="atLeast"/>
        </w:trPr>
        <w:tc>
          <w:tcPr>
            <w:tcW w:w="5000" w:type="pct"/>
            <w:gridSpan w:val="8"/>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kern w:val="0"/>
                <w:sz w:val="15"/>
                <w:szCs w:val="15"/>
              </w:rPr>
            </w:pPr>
            <w:r>
              <w:rPr>
                <w:rFonts w:hint="eastAsia" w:ascii="宋体" w:hAnsi="宋体" w:cs="宋体"/>
                <w:b/>
                <w:bCs/>
                <w:sz w:val="18"/>
                <w:szCs w:val="18"/>
              </w:rPr>
              <w:t>束河分区表</w:t>
            </w:r>
          </w:p>
        </w:tc>
      </w:tr>
      <w:tr>
        <w:tblPrEx>
          <w:tblCellMar>
            <w:top w:w="0" w:type="dxa"/>
            <w:left w:w="108" w:type="dxa"/>
            <w:bottom w:w="0" w:type="dxa"/>
            <w:right w:w="108" w:type="dxa"/>
          </w:tblCellMar>
        </w:tblPrEx>
        <w:trPr>
          <w:trHeight w:val="285" w:hRule="atLeast"/>
        </w:trPr>
        <w:tc>
          <w:tcPr>
            <w:tcW w:w="19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区域</w:t>
            </w:r>
          </w:p>
        </w:tc>
        <w:tc>
          <w:tcPr>
            <w:tcW w:w="1198"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区域周围道路</w:t>
            </w:r>
          </w:p>
        </w:tc>
        <w:tc>
          <w:tcPr>
            <w:tcW w:w="252"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区域</w:t>
            </w:r>
          </w:p>
        </w:tc>
        <w:tc>
          <w:tcPr>
            <w:tcW w:w="95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区域周围道路</w:t>
            </w:r>
          </w:p>
        </w:tc>
        <w:tc>
          <w:tcPr>
            <w:tcW w:w="252"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区域</w:t>
            </w:r>
          </w:p>
        </w:tc>
        <w:tc>
          <w:tcPr>
            <w:tcW w:w="95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区域周围道路</w:t>
            </w:r>
          </w:p>
        </w:tc>
        <w:tc>
          <w:tcPr>
            <w:tcW w:w="252"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区域</w:t>
            </w:r>
          </w:p>
        </w:tc>
        <w:tc>
          <w:tcPr>
            <w:tcW w:w="929"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区域周围道路</w:t>
            </w:r>
          </w:p>
        </w:tc>
      </w:tr>
      <w:tr>
        <w:tblPrEx>
          <w:tblCellMar>
            <w:top w:w="0" w:type="dxa"/>
            <w:left w:w="108" w:type="dxa"/>
            <w:bottom w:w="0" w:type="dxa"/>
            <w:right w:w="108" w:type="dxa"/>
          </w:tblCellMar>
        </w:tblPrEx>
        <w:trPr>
          <w:trHeight w:val="369" w:hRule="atLeast"/>
        </w:trPr>
        <w:tc>
          <w:tcPr>
            <w:tcW w:w="566" w:type="dxa"/>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w:t>
            </w:r>
          </w:p>
        </w:tc>
        <w:tc>
          <w:tcPr>
            <w:tcW w:w="339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渠潭巷、十和路</w:t>
            </w:r>
          </w:p>
        </w:tc>
        <w:tc>
          <w:tcPr>
            <w:tcW w:w="715" w:type="dxa"/>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20</w:t>
            </w:r>
          </w:p>
        </w:tc>
        <w:tc>
          <w:tcPr>
            <w:tcW w:w="271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十和路、康普路、</w:t>
            </w:r>
            <w:r>
              <w:rPr>
                <w:rFonts w:ascii="宋体" w:hAnsi="宋体" w:cs="宋体"/>
                <w:kern w:val="0"/>
                <w:sz w:val="15"/>
                <w:szCs w:val="15"/>
              </w:rPr>
              <w:fldChar w:fldCharType="begin"/>
            </w:r>
            <w:r>
              <w:rPr>
                <w:rFonts w:ascii="宋体" w:hAnsi="宋体" w:cs="宋体"/>
                <w:kern w:val="0"/>
                <w:sz w:val="15"/>
                <w:szCs w:val="15"/>
              </w:rPr>
              <w:instrText xml:space="preserve"> </w:instrText>
            </w:r>
            <w:r>
              <w:rPr>
                <w:rFonts w:hint="eastAsia" w:ascii="宋体" w:hAnsi="宋体" w:cs="宋体"/>
                <w:kern w:val="0"/>
                <w:sz w:val="15"/>
                <w:szCs w:val="15"/>
              </w:rPr>
              <w:instrText xml:space="preserve">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,2)</w:instrText>
            </w:r>
            <w:r>
              <w:rPr>
                <w:rFonts w:ascii="宋体" w:hAnsi="宋体" w:cs="宋体"/>
                <w:kern w:val="0"/>
                <w:sz w:val="15"/>
                <w:szCs w:val="15"/>
              </w:rPr>
              <w:fldChar w:fldCharType="end"/>
            </w:r>
            <w:r>
              <w:rPr>
                <w:rFonts w:hint="eastAsia" w:ascii="宋体" w:hAnsi="宋体" w:cs="宋体"/>
                <w:kern w:val="0"/>
                <w:sz w:val="15"/>
                <w:szCs w:val="15"/>
              </w:rPr>
              <w:t>、街尾巷</w:t>
            </w:r>
          </w:p>
        </w:tc>
        <w:tc>
          <w:tcPr>
            <w:tcW w:w="71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39</w:t>
            </w:r>
          </w:p>
        </w:tc>
        <w:tc>
          <w:tcPr>
            <w:tcW w:w="271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丽水街、鼎业街、</w:t>
            </w:r>
            <w:r>
              <w:rPr>
                <w:rFonts w:ascii="宋体" w:hAnsi="宋体" w:cs="宋体"/>
                <w:kern w:val="0"/>
                <w:sz w:val="15"/>
                <w:szCs w:val="15"/>
              </w:rPr>
              <w:fldChar w:fldCharType="begin"/>
            </w:r>
            <w:r>
              <w:rPr>
                <w:rFonts w:ascii="宋体" w:hAnsi="宋体" w:cs="宋体"/>
                <w:kern w:val="0"/>
                <w:sz w:val="15"/>
                <w:szCs w:val="15"/>
              </w:rPr>
              <w:instrText xml:space="preserve"> </w:instrText>
            </w:r>
            <w:r>
              <w:rPr>
                <w:rFonts w:hint="eastAsia" w:ascii="宋体" w:hAnsi="宋体" w:cs="宋体"/>
                <w:kern w:val="0"/>
                <w:sz w:val="15"/>
                <w:szCs w:val="15"/>
              </w:rPr>
              <w:instrText xml:space="preserve">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,6)</w:instrText>
            </w:r>
            <w:r>
              <w:rPr>
                <w:rFonts w:ascii="宋体" w:hAnsi="宋体" w:cs="宋体"/>
                <w:kern w:val="0"/>
                <w:sz w:val="15"/>
                <w:szCs w:val="15"/>
              </w:rPr>
              <w:fldChar w:fldCharType="end"/>
            </w:r>
          </w:p>
        </w:tc>
        <w:tc>
          <w:tcPr>
            <w:tcW w:w="715" w:type="dxa"/>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58</w:t>
            </w:r>
          </w:p>
        </w:tc>
        <w:tc>
          <w:tcPr>
            <w:tcW w:w="26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仁里路、</w:t>
            </w:r>
            <w:r>
              <w:rPr>
                <w:rFonts w:ascii="宋体" w:hAnsi="宋体" w:cs="宋体"/>
                <w:kern w:val="0"/>
                <w:sz w:val="15"/>
                <w:szCs w:val="15"/>
              </w:rPr>
              <w:fldChar w:fldCharType="begin"/>
            </w:r>
            <w:r>
              <w:rPr>
                <w:rFonts w:ascii="宋体" w:hAnsi="宋体" w:cs="宋体"/>
                <w:kern w:val="0"/>
                <w:sz w:val="15"/>
                <w:szCs w:val="15"/>
              </w:rPr>
              <w:instrText xml:space="preserve"> </w:instrText>
            </w:r>
            <w:r>
              <w:rPr>
                <w:rFonts w:hint="eastAsia" w:ascii="宋体" w:hAnsi="宋体" w:cs="宋体"/>
                <w:kern w:val="0"/>
                <w:sz w:val="15"/>
                <w:szCs w:val="15"/>
              </w:rPr>
              <w:instrText xml:space="preserve">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,13)</w:instrText>
            </w:r>
            <w:r>
              <w:rPr>
                <w:rFonts w:ascii="宋体" w:hAnsi="宋体" w:cs="宋体"/>
                <w:kern w:val="0"/>
                <w:sz w:val="15"/>
                <w:szCs w:val="15"/>
              </w:rPr>
              <w:fldChar w:fldCharType="end"/>
            </w:r>
          </w:p>
        </w:tc>
      </w:tr>
      <w:tr>
        <w:tblPrEx>
          <w:tblCellMar>
            <w:top w:w="0" w:type="dxa"/>
            <w:left w:w="108" w:type="dxa"/>
            <w:bottom w:w="0" w:type="dxa"/>
            <w:right w:w="108" w:type="dxa"/>
          </w:tblCellMar>
        </w:tblPrEx>
        <w:trPr>
          <w:trHeight w:val="600" w:hRule="atLeast"/>
        </w:trPr>
        <w:tc>
          <w:tcPr>
            <w:tcW w:w="566" w:type="dxa"/>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2</w:t>
            </w:r>
          </w:p>
        </w:tc>
        <w:tc>
          <w:tcPr>
            <w:tcW w:w="339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渠潭巷、十和路</w:t>
            </w:r>
          </w:p>
        </w:tc>
        <w:tc>
          <w:tcPr>
            <w:tcW w:w="715" w:type="dxa"/>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21</w:t>
            </w:r>
          </w:p>
        </w:tc>
        <w:tc>
          <w:tcPr>
            <w:tcW w:w="271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康普路、十和路、文昌巷、</w:t>
            </w:r>
            <w:r>
              <w:rPr>
                <w:rFonts w:ascii="宋体" w:hAnsi="宋体" w:cs="宋体"/>
                <w:kern w:val="0"/>
                <w:sz w:val="15"/>
                <w:szCs w:val="15"/>
              </w:rPr>
              <w:fldChar w:fldCharType="begin"/>
            </w:r>
            <w:r>
              <w:rPr>
                <w:rFonts w:ascii="宋体" w:hAnsi="宋体" w:cs="宋体"/>
                <w:kern w:val="0"/>
                <w:sz w:val="15"/>
                <w:szCs w:val="15"/>
              </w:rPr>
              <w:instrText xml:space="preserve"> </w:instrText>
            </w:r>
            <w:r>
              <w:rPr>
                <w:rFonts w:hint="eastAsia" w:ascii="宋体" w:hAnsi="宋体" w:cs="宋体"/>
                <w:kern w:val="0"/>
                <w:sz w:val="15"/>
                <w:szCs w:val="15"/>
              </w:rPr>
              <w:instrText xml:space="preserve">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,3)</w:instrText>
            </w:r>
            <w:r>
              <w:rPr>
                <w:rFonts w:ascii="宋体" w:hAnsi="宋体" w:cs="宋体"/>
                <w:kern w:val="0"/>
                <w:sz w:val="15"/>
                <w:szCs w:val="15"/>
              </w:rPr>
              <w:fldChar w:fldCharType="end"/>
            </w:r>
          </w:p>
        </w:tc>
        <w:tc>
          <w:tcPr>
            <w:tcW w:w="71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40</w:t>
            </w:r>
          </w:p>
        </w:tc>
        <w:tc>
          <w:tcPr>
            <w:tcW w:w="271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丽水街、茶马路、束河古道</w:t>
            </w:r>
          </w:p>
        </w:tc>
        <w:tc>
          <w:tcPr>
            <w:tcW w:w="715" w:type="dxa"/>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p>
        </w:tc>
        <w:tc>
          <w:tcPr>
            <w:tcW w:w="26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r>
      <w:tr>
        <w:tblPrEx>
          <w:tblCellMar>
            <w:top w:w="0" w:type="dxa"/>
            <w:left w:w="108" w:type="dxa"/>
            <w:bottom w:w="0" w:type="dxa"/>
            <w:right w:w="108" w:type="dxa"/>
          </w:tblCellMar>
        </w:tblPrEx>
        <w:trPr>
          <w:trHeight w:val="315" w:hRule="atLeast"/>
        </w:trPr>
        <w:tc>
          <w:tcPr>
            <w:tcW w:w="566" w:type="dxa"/>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3</w:t>
            </w:r>
          </w:p>
        </w:tc>
        <w:tc>
          <w:tcPr>
            <w:tcW w:w="339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三友东巷、十和路</w:t>
            </w:r>
          </w:p>
        </w:tc>
        <w:tc>
          <w:tcPr>
            <w:tcW w:w="715" w:type="dxa"/>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22</w:t>
            </w:r>
          </w:p>
        </w:tc>
        <w:tc>
          <w:tcPr>
            <w:tcW w:w="271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中和路、束河古道、文昌巷</w:t>
            </w:r>
          </w:p>
        </w:tc>
        <w:tc>
          <w:tcPr>
            <w:tcW w:w="71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41</w:t>
            </w:r>
          </w:p>
        </w:tc>
        <w:tc>
          <w:tcPr>
            <w:tcW w:w="271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茶马路、丽水街、</w:t>
            </w:r>
            <w:r>
              <w:rPr>
                <w:rFonts w:ascii="宋体" w:hAnsi="宋体" w:cs="宋体"/>
                <w:kern w:val="0"/>
                <w:sz w:val="15"/>
                <w:szCs w:val="15"/>
              </w:rPr>
              <w:fldChar w:fldCharType="begin"/>
            </w:r>
            <w:r>
              <w:rPr>
                <w:rFonts w:ascii="宋体" w:hAnsi="宋体" w:cs="宋体"/>
                <w:kern w:val="0"/>
                <w:sz w:val="15"/>
                <w:szCs w:val="15"/>
              </w:rPr>
              <w:instrText xml:space="preserve"> </w:instrText>
            </w:r>
            <w:r>
              <w:rPr>
                <w:rFonts w:hint="eastAsia" w:ascii="宋体" w:hAnsi="宋体" w:cs="宋体"/>
                <w:kern w:val="0"/>
                <w:sz w:val="15"/>
                <w:szCs w:val="15"/>
              </w:rPr>
              <w:instrText xml:space="preserve">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,7)</w:instrText>
            </w:r>
            <w:r>
              <w:rPr>
                <w:rFonts w:ascii="宋体" w:hAnsi="宋体" w:cs="宋体"/>
                <w:kern w:val="0"/>
                <w:sz w:val="15"/>
                <w:szCs w:val="15"/>
              </w:rPr>
              <w:fldChar w:fldCharType="end"/>
            </w:r>
          </w:p>
        </w:tc>
        <w:tc>
          <w:tcPr>
            <w:tcW w:w="71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26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r>
      <w:tr>
        <w:tblPrEx>
          <w:tblCellMar>
            <w:top w:w="0" w:type="dxa"/>
            <w:left w:w="108" w:type="dxa"/>
            <w:bottom w:w="0" w:type="dxa"/>
            <w:right w:w="108" w:type="dxa"/>
          </w:tblCellMar>
        </w:tblPrEx>
        <w:trPr>
          <w:trHeight w:val="570" w:hRule="atLeast"/>
        </w:trPr>
        <w:tc>
          <w:tcPr>
            <w:tcW w:w="566" w:type="dxa"/>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4</w:t>
            </w:r>
          </w:p>
        </w:tc>
        <w:tc>
          <w:tcPr>
            <w:tcW w:w="339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中和街、大党巷、三友东巷</w:t>
            </w:r>
          </w:p>
        </w:tc>
        <w:tc>
          <w:tcPr>
            <w:tcW w:w="715" w:type="dxa"/>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23</w:t>
            </w:r>
          </w:p>
        </w:tc>
        <w:tc>
          <w:tcPr>
            <w:tcW w:w="271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中和街、三友东巷</w:t>
            </w:r>
          </w:p>
        </w:tc>
        <w:tc>
          <w:tcPr>
            <w:tcW w:w="71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42</w:t>
            </w:r>
          </w:p>
        </w:tc>
        <w:tc>
          <w:tcPr>
            <w:tcW w:w="271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丽水街、茶马路</w:t>
            </w:r>
          </w:p>
        </w:tc>
        <w:tc>
          <w:tcPr>
            <w:tcW w:w="71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26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r>
      <w:tr>
        <w:tblPrEx>
          <w:tblCellMar>
            <w:top w:w="0" w:type="dxa"/>
            <w:left w:w="108" w:type="dxa"/>
            <w:bottom w:w="0" w:type="dxa"/>
            <w:right w:w="108" w:type="dxa"/>
          </w:tblCellMar>
        </w:tblPrEx>
        <w:trPr>
          <w:trHeight w:val="315" w:hRule="atLeast"/>
        </w:trPr>
        <w:tc>
          <w:tcPr>
            <w:tcW w:w="566" w:type="dxa"/>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5</w:t>
            </w:r>
          </w:p>
        </w:tc>
        <w:tc>
          <w:tcPr>
            <w:tcW w:w="339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清泉路、十和路、茶博巷</w:t>
            </w:r>
          </w:p>
        </w:tc>
        <w:tc>
          <w:tcPr>
            <w:tcW w:w="715" w:type="dxa"/>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24</w:t>
            </w:r>
          </w:p>
        </w:tc>
        <w:tc>
          <w:tcPr>
            <w:tcW w:w="271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束河古道、拐柳巷、康普路、文昌巷</w:t>
            </w:r>
          </w:p>
        </w:tc>
        <w:tc>
          <w:tcPr>
            <w:tcW w:w="71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43</w:t>
            </w:r>
          </w:p>
        </w:tc>
        <w:tc>
          <w:tcPr>
            <w:tcW w:w="271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藏情街、</w:t>
            </w:r>
            <w:r>
              <w:rPr>
                <w:rFonts w:ascii="宋体" w:hAnsi="宋体" w:cs="宋体"/>
                <w:kern w:val="0"/>
                <w:sz w:val="15"/>
                <w:szCs w:val="15"/>
              </w:rPr>
              <w:fldChar w:fldCharType="begin"/>
            </w:r>
            <w:r>
              <w:rPr>
                <w:rFonts w:ascii="宋体" w:hAnsi="宋体" w:cs="宋体"/>
                <w:kern w:val="0"/>
                <w:sz w:val="15"/>
                <w:szCs w:val="15"/>
              </w:rPr>
              <w:instrText xml:space="preserve"> </w:instrText>
            </w:r>
            <w:r>
              <w:rPr>
                <w:rFonts w:hint="eastAsia" w:ascii="宋体" w:hAnsi="宋体" w:cs="宋体"/>
                <w:kern w:val="0"/>
                <w:sz w:val="15"/>
                <w:szCs w:val="15"/>
              </w:rPr>
              <w:instrText xml:space="preserve">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,8)</w:instrText>
            </w:r>
            <w:r>
              <w:rPr>
                <w:rFonts w:ascii="宋体" w:hAnsi="宋体" w:cs="宋体"/>
                <w:kern w:val="0"/>
                <w:sz w:val="15"/>
                <w:szCs w:val="15"/>
              </w:rPr>
              <w:fldChar w:fldCharType="end"/>
            </w:r>
            <w:r>
              <w:rPr>
                <w:rFonts w:ascii="宋体" w:hAnsi="宋体" w:cs="宋体"/>
                <w:kern w:val="0"/>
                <w:sz w:val="15"/>
                <w:szCs w:val="15"/>
              </w:rPr>
              <w:t xml:space="preserve"> </w:t>
            </w:r>
          </w:p>
        </w:tc>
        <w:tc>
          <w:tcPr>
            <w:tcW w:w="71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26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r>
      <w:tr>
        <w:tblPrEx>
          <w:tblCellMar>
            <w:top w:w="0" w:type="dxa"/>
            <w:left w:w="108" w:type="dxa"/>
            <w:bottom w:w="0" w:type="dxa"/>
            <w:right w:w="108" w:type="dxa"/>
          </w:tblCellMar>
        </w:tblPrEx>
        <w:trPr>
          <w:trHeight w:val="582" w:hRule="atLeast"/>
        </w:trPr>
        <w:tc>
          <w:tcPr>
            <w:tcW w:w="566" w:type="dxa"/>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6</w:t>
            </w:r>
          </w:p>
        </w:tc>
        <w:tc>
          <w:tcPr>
            <w:tcW w:w="339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茶博巷、清泉路、十和路、束河古道</w:t>
            </w:r>
          </w:p>
        </w:tc>
        <w:tc>
          <w:tcPr>
            <w:tcW w:w="715" w:type="dxa"/>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25</w:t>
            </w:r>
          </w:p>
        </w:tc>
        <w:tc>
          <w:tcPr>
            <w:tcW w:w="271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束河古道、拐柳巷</w:t>
            </w:r>
          </w:p>
        </w:tc>
        <w:tc>
          <w:tcPr>
            <w:tcW w:w="71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44</w:t>
            </w:r>
          </w:p>
        </w:tc>
        <w:tc>
          <w:tcPr>
            <w:tcW w:w="271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九鼎街、鼎业街</w:t>
            </w:r>
          </w:p>
        </w:tc>
        <w:tc>
          <w:tcPr>
            <w:tcW w:w="71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26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r>
      <w:tr>
        <w:tblPrEx>
          <w:tblCellMar>
            <w:top w:w="0" w:type="dxa"/>
            <w:left w:w="108" w:type="dxa"/>
            <w:bottom w:w="0" w:type="dxa"/>
            <w:right w:w="108" w:type="dxa"/>
          </w:tblCellMar>
        </w:tblPrEx>
        <w:trPr>
          <w:trHeight w:val="315" w:hRule="atLeast"/>
        </w:trPr>
        <w:tc>
          <w:tcPr>
            <w:tcW w:w="566" w:type="dxa"/>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7</w:t>
            </w:r>
          </w:p>
        </w:tc>
        <w:tc>
          <w:tcPr>
            <w:tcW w:w="339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蔷薇路、仁里路、束河古道</w:t>
            </w:r>
          </w:p>
        </w:tc>
        <w:tc>
          <w:tcPr>
            <w:tcW w:w="715" w:type="dxa"/>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26</w:t>
            </w:r>
          </w:p>
        </w:tc>
        <w:tc>
          <w:tcPr>
            <w:tcW w:w="271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康普路、拐柳巷、康北巷</w:t>
            </w:r>
          </w:p>
        </w:tc>
        <w:tc>
          <w:tcPr>
            <w:tcW w:w="71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45</w:t>
            </w:r>
          </w:p>
        </w:tc>
        <w:tc>
          <w:tcPr>
            <w:tcW w:w="271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茶马路、十和路、</w:t>
            </w:r>
            <w:r>
              <w:rPr>
                <w:rFonts w:ascii="宋体" w:hAnsi="宋体" w:cs="宋体"/>
                <w:kern w:val="0"/>
                <w:sz w:val="15"/>
                <w:szCs w:val="15"/>
              </w:rPr>
              <w:fldChar w:fldCharType="begin"/>
            </w:r>
            <w:r>
              <w:rPr>
                <w:rFonts w:ascii="宋体" w:hAnsi="宋体" w:cs="宋体"/>
                <w:kern w:val="0"/>
                <w:sz w:val="15"/>
                <w:szCs w:val="15"/>
              </w:rPr>
              <w:instrText xml:space="preserve"> </w:instrText>
            </w:r>
            <w:r>
              <w:rPr>
                <w:rFonts w:hint="eastAsia" w:ascii="宋体" w:hAnsi="宋体" w:cs="宋体"/>
                <w:kern w:val="0"/>
                <w:sz w:val="15"/>
                <w:szCs w:val="15"/>
              </w:rPr>
              <w:instrText xml:space="preserve">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,8)</w:instrText>
            </w:r>
            <w:r>
              <w:rPr>
                <w:rFonts w:ascii="宋体" w:hAnsi="宋体" w:cs="宋体"/>
                <w:kern w:val="0"/>
                <w:sz w:val="15"/>
                <w:szCs w:val="15"/>
              </w:rPr>
              <w:fldChar w:fldCharType="end"/>
            </w:r>
          </w:p>
        </w:tc>
        <w:tc>
          <w:tcPr>
            <w:tcW w:w="71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26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r>
      <w:tr>
        <w:tblPrEx>
          <w:tblCellMar>
            <w:top w:w="0" w:type="dxa"/>
            <w:left w:w="108" w:type="dxa"/>
            <w:bottom w:w="0" w:type="dxa"/>
            <w:right w:w="108" w:type="dxa"/>
          </w:tblCellMar>
        </w:tblPrEx>
        <w:trPr>
          <w:trHeight w:val="315" w:hRule="atLeast"/>
        </w:trPr>
        <w:tc>
          <w:tcPr>
            <w:tcW w:w="566" w:type="dxa"/>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8</w:t>
            </w:r>
          </w:p>
        </w:tc>
        <w:tc>
          <w:tcPr>
            <w:tcW w:w="339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仁里路、红叶巷</w:t>
            </w:r>
          </w:p>
        </w:tc>
        <w:tc>
          <w:tcPr>
            <w:tcW w:w="715" w:type="dxa"/>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27</w:t>
            </w:r>
          </w:p>
        </w:tc>
        <w:tc>
          <w:tcPr>
            <w:tcW w:w="271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康普路、康泉路</w:t>
            </w:r>
          </w:p>
        </w:tc>
        <w:tc>
          <w:tcPr>
            <w:tcW w:w="71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46</w:t>
            </w:r>
          </w:p>
        </w:tc>
        <w:tc>
          <w:tcPr>
            <w:tcW w:w="271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十和路、</w:t>
            </w:r>
            <w:r>
              <w:rPr>
                <w:rFonts w:ascii="宋体" w:hAnsi="宋体" w:cs="宋体"/>
                <w:kern w:val="0"/>
                <w:sz w:val="15"/>
                <w:szCs w:val="15"/>
              </w:rPr>
              <w:fldChar w:fldCharType="begin"/>
            </w:r>
            <w:r>
              <w:rPr>
                <w:rFonts w:ascii="宋体" w:hAnsi="宋体" w:cs="宋体"/>
                <w:kern w:val="0"/>
                <w:sz w:val="15"/>
                <w:szCs w:val="15"/>
              </w:rPr>
              <w:instrText xml:space="preserve"> </w:instrText>
            </w:r>
            <w:r>
              <w:rPr>
                <w:rFonts w:hint="eastAsia" w:ascii="宋体" w:hAnsi="宋体" w:cs="宋体"/>
                <w:kern w:val="0"/>
                <w:sz w:val="15"/>
                <w:szCs w:val="15"/>
              </w:rPr>
              <w:instrText xml:space="preserve">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,1)</w:instrText>
            </w:r>
            <w:r>
              <w:rPr>
                <w:rFonts w:ascii="宋体" w:hAnsi="宋体" w:cs="宋体"/>
                <w:kern w:val="0"/>
                <w:sz w:val="15"/>
                <w:szCs w:val="15"/>
              </w:rPr>
              <w:fldChar w:fldCharType="end"/>
            </w:r>
            <w:r>
              <w:rPr>
                <w:rFonts w:hint="eastAsia" w:ascii="宋体" w:hAnsi="宋体" w:cs="宋体"/>
                <w:kern w:val="0"/>
                <w:sz w:val="15"/>
                <w:szCs w:val="15"/>
              </w:rPr>
              <w:t>、</w:t>
            </w:r>
            <w:r>
              <w:rPr>
                <w:rFonts w:ascii="宋体" w:hAnsi="宋体" w:cs="宋体"/>
                <w:kern w:val="0"/>
                <w:sz w:val="15"/>
                <w:szCs w:val="15"/>
              </w:rPr>
              <w:fldChar w:fldCharType="begin"/>
            </w:r>
            <w:r>
              <w:rPr>
                <w:rFonts w:ascii="宋体" w:hAnsi="宋体" w:cs="宋体"/>
                <w:kern w:val="0"/>
                <w:sz w:val="15"/>
                <w:szCs w:val="15"/>
              </w:rPr>
              <w:instrText xml:space="preserve"> </w:instrText>
            </w:r>
            <w:r>
              <w:rPr>
                <w:rFonts w:hint="eastAsia" w:ascii="宋体" w:hAnsi="宋体" w:cs="宋体"/>
                <w:kern w:val="0"/>
                <w:sz w:val="15"/>
                <w:szCs w:val="15"/>
              </w:rPr>
              <w:instrText xml:space="preserve">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,8)</w:instrText>
            </w:r>
            <w:r>
              <w:rPr>
                <w:rFonts w:ascii="宋体" w:hAnsi="宋体" w:cs="宋体"/>
                <w:kern w:val="0"/>
                <w:sz w:val="15"/>
                <w:szCs w:val="15"/>
              </w:rPr>
              <w:fldChar w:fldCharType="end"/>
            </w:r>
          </w:p>
        </w:tc>
        <w:tc>
          <w:tcPr>
            <w:tcW w:w="71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26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r>
      <w:tr>
        <w:tblPrEx>
          <w:tblCellMar>
            <w:top w:w="0" w:type="dxa"/>
            <w:left w:w="108" w:type="dxa"/>
            <w:bottom w:w="0" w:type="dxa"/>
            <w:right w:w="108" w:type="dxa"/>
          </w:tblCellMar>
        </w:tblPrEx>
        <w:trPr>
          <w:trHeight w:val="315" w:hRule="atLeast"/>
        </w:trPr>
        <w:tc>
          <w:tcPr>
            <w:tcW w:w="566" w:type="dxa"/>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9</w:t>
            </w:r>
          </w:p>
        </w:tc>
        <w:tc>
          <w:tcPr>
            <w:tcW w:w="339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仁里路、聚宝巷、红叶巷</w:t>
            </w:r>
          </w:p>
        </w:tc>
        <w:tc>
          <w:tcPr>
            <w:tcW w:w="715" w:type="dxa"/>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28</w:t>
            </w:r>
          </w:p>
        </w:tc>
        <w:tc>
          <w:tcPr>
            <w:tcW w:w="271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束河古道、</w:t>
            </w:r>
            <w:r>
              <w:rPr>
                <w:rFonts w:ascii="宋体" w:hAnsi="宋体" w:cs="宋体"/>
                <w:kern w:val="0"/>
                <w:sz w:val="15"/>
                <w:szCs w:val="15"/>
              </w:rPr>
              <w:fldChar w:fldCharType="begin"/>
            </w:r>
            <w:r>
              <w:rPr>
                <w:rFonts w:ascii="宋体" w:hAnsi="宋体" w:cs="宋体"/>
                <w:kern w:val="0"/>
                <w:sz w:val="15"/>
                <w:szCs w:val="15"/>
              </w:rPr>
              <w:instrText xml:space="preserve"> </w:instrText>
            </w:r>
            <w:r>
              <w:rPr>
                <w:rFonts w:hint="eastAsia" w:ascii="宋体" w:hAnsi="宋体" w:cs="宋体"/>
                <w:kern w:val="0"/>
                <w:sz w:val="15"/>
                <w:szCs w:val="15"/>
              </w:rPr>
              <w:instrText xml:space="preserve">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,4)</w:instrText>
            </w:r>
            <w:r>
              <w:rPr>
                <w:rFonts w:ascii="宋体" w:hAnsi="宋体" w:cs="宋体"/>
                <w:kern w:val="0"/>
                <w:sz w:val="15"/>
                <w:szCs w:val="15"/>
              </w:rPr>
              <w:fldChar w:fldCharType="end"/>
            </w:r>
          </w:p>
        </w:tc>
        <w:tc>
          <w:tcPr>
            <w:tcW w:w="71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47</w:t>
            </w:r>
          </w:p>
        </w:tc>
        <w:tc>
          <w:tcPr>
            <w:tcW w:w="271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康普路、古情巷</w:t>
            </w:r>
          </w:p>
        </w:tc>
        <w:tc>
          <w:tcPr>
            <w:tcW w:w="71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26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r>
      <w:tr>
        <w:tblPrEx>
          <w:tblCellMar>
            <w:top w:w="0" w:type="dxa"/>
            <w:left w:w="108" w:type="dxa"/>
            <w:bottom w:w="0" w:type="dxa"/>
            <w:right w:w="108" w:type="dxa"/>
          </w:tblCellMar>
        </w:tblPrEx>
        <w:trPr>
          <w:trHeight w:val="315" w:hRule="atLeast"/>
        </w:trPr>
        <w:tc>
          <w:tcPr>
            <w:tcW w:w="566" w:type="dxa"/>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10</w:t>
            </w:r>
          </w:p>
        </w:tc>
        <w:tc>
          <w:tcPr>
            <w:tcW w:w="339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仁里路、蔷薇路、罗口巷、红叶巷</w:t>
            </w:r>
          </w:p>
        </w:tc>
        <w:tc>
          <w:tcPr>
            <w:tcW w:w="715" w:type="dxa"/>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29</w:t>
            </w:r>
          </w:p>
        </w:tc>
        <w:tc>
          <w:tcPr>
            <w:tcW w:w="271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束河古道、</w:t>
            </w:r>
            <w:r>
              <w:rPr>
                <w:rFonts w:ascii="宋体" w:hAnsi="宋体" w:cs="宋体"/>
                <w:kern w:val="0"/>
                <w:sz w:val="15"/>
                <w:szCs w:val="15"/>
              </w:rPr>
              <w:fldChar w:fldCharType="begin"/>
            </w:r>
            <w:r>
              <w:rPr>
                <w:rFonts w:ascii="宋体" w:hAnsi="宋体" w:cs="宋体"/>
                <w:kern w:val="0"/>
                <w:sz w:val="15"/>
                <w:szCs w:val="15"/>
              </w:rPr>
              <w:instrText xml:space="preserve"> </w:instrText>
            </w:r>
            <w:r>
              <w:rPr>
                <w:rFonts w:hint="eastAsia" w:ascii="宋体" w:hAnsi="宋体" w:cs="宋体"/>
                <w:kern w:val="0"/>
                <w:sz w:val="15"/>
                <w:szCs w:val="15"/>
              </w:rPr>
              <w:instrText xml:space="preserve">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,4)</w:instrText>
            </w:r>
            <w:r>
              <w:rPr>
                <w:rFonts w:ascii="宋体" w:hAnsi="宋体" w:cs="宋体"/>
                <w:kern w:val="0"/>
                <w:sz w:val="15"/>
                <w:szCs w:val="15"/>
              </w:rPr>
              <w:fldChar w:fldCharType="end"/>
            </w:r>
            <w:r>
              <w:rPr>
                <w:rFonts w:hint="eastAsia" w:ascii="宋体" w:hAnsi="宋体" w:cs="宋体"/>
                <w:kern w:val="0"/>
                <w:sz w:val="15"/>
                <w:szCs w:val="15"/>
              </w:rPr>
              <w:t>、丽水街</w:t>
            </w:r>
          </w:p>
        </w:tc>
        <w:tc>
          <w:tcPr>
            <w:tcW w:w="71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48</w:t>
            </w:r>
          </w:p>
        </w:tc>
        <w:tc>
          <w:tcPr>
            <w:tcW w:w="271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松云路、仁里路、上云巷</w:t>
            </w:r>
          </w:p>
        </w:tc>
        <w:tc>
          <w:tcPr>
            <w:tcW w:w="71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26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r>
      <w:tr>
        <w:tblPrEx>
          <w:tblCellMar>
            <w:top w:w="0" w:type="dxa"/>
            <w:left w:w="108" w:type="dxa"/>
            <w:bottom w:w="0" w:type="dxa"/>
            <w:right w:w="108" w:type="dxa"/>
          </w:tblCellMar>
        </w:tblPrEx>
        <w:trPr>
          <w:trHeight w:val="315" w:hRule="atLeast"/>
        </w:trPr>
        <w:tc>
          <w:tcPr>
            <w:tcW w:w="566" w:type="dxa"/>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11</w:t>
            </w:r>
          </w:p>
        </w:tc>
        <w:tc>
          <w:tcPr>
            <w:tcW w:w="339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蔷薇路、十和路、康普路、束河古道</w:t>
            </w:r>
          </w:p>
        </w:tc>
        <w:tc>
          <w:tcPr>
            <w:tcW w:w="715" w:type="dxa"/>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30</w:t>
            </w:r>
          </w:p>
        </w:tc>
        <w:tc>
          <w:tcPr>
            <w:tcW w:w="271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古情巷、康普巷、古情巷、</w:t>
            </w:r>
            <w:r>
              <w:rPr>
                <w:rFonts w:ascii="宋体" w:hAnsi="宋体" w:cs="宋体"/>
                <w:kern w:val="0"/>
                <w:sz w:val="15"/>
                <w:szCs w:val="15"/>
              </w:rPr>
              <w:fldChar w:fldCharType="begin"/>
            </w:r>
            <w:r>
              <w:rPr>
                <w:rFonts w:ascii="宋体" w:hAnsi="宋体" w:cs="宋体"/>
                <w:kern w:val="0"/>
                <w:sz w:val="15"/>
                <w:szCs w:val="15"/>
              </w:rPr>
              <w:instrText xml:space="preserve"> </w:instrText>
            </w:r>
            <w:r>
              <w:rPr>
                <w:rFonts w:hint="eastAsia" w:ascii="宋体" w:hAnsi="宋体" w:cs="宋体"/>
                <w:kern w:val="0"/>
                <w:sz w:val="15"/>
                <w:szCs w:val="15"/>
              </w:rPr>
              <w:instrText xml:space="preserve">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,4)</w:instrText>
            </w:r>
            <w:r>
              <w:rPr>
                <w:rFonts w:ascii="宋体" w:hAnsi="宋体" w:cs="宋体"/>
                <w:kern w:val="0"/>
                <w:sz w:val="15"/>
                <w:szCs w:val="15"/>
              </w:rPr>
              <w:fldChar w:fldCharType="end"/>
            </w:r>
          </w:p>
        </w:tc>
        <w:tc>
          <w:tcPr>
            <w:tcW w:w="71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49</w:t>
            </w:r>
          </w:p>
        </w:tc>
        <w:tc>
          <w:tcPr>
            <w:tcW w:w="271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束河古道、</w:t>
            </w:r>
            <w:r>
              <w:rPr>
                <w:rFonts w:ascii="宋体" w:hAnsi="宋体" w:cs="宋体"/>
                <w:kern w:val="0"/>
                <w:sz w:val="15"/>
                <w:szCs w:val="15"/>
              </w:rPr>
              <w:fldChar w:fldCharType="begin"/>
            </w:r>
            <w:r>
              <w:rPr>
                <w:rFonts w:ascii="宋体" w:hAnsi="宋体" w:cs="宋体"/>
                <w:kern w:val="0"/>
                <w:sz w:val="15"/>
                <w:szCs w:val="15"/>
              </w:rPr>
              <w:instrText xml:space="preserve"> </w:instrText>
            </w:r>
            <w:r>
              <w:rPr>
                <w:rFonts w:hint="eastAsia" w:ascii="宋体" w:hAnsi="宋体" w:cs="宋体"/>
                <w:kern w:val="0"/>
                <w:sz w:val="15"/>
                <w:szCs w:val="15"/>
              </w:rPr>
              <w:instrText xml:space="preserve">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,9)</w:instrText>
            </w:r>
            <w:r>
              <w:rPr>
                <w:rFonts w:ascii="宋体" w:hAnsi="宋体" w:cs="宋体"/>
                <w:kern w:val="0"/>
                <w:sz w:val="15"/>
                <w:szCs w:val="15"/>
              </w:rPr>
              <w:fldChar w:fldCharType="end"/>
            </w:r>
          </w:p>
        </w:tc>
        <w:tc>
          <w:tcPr>
            <w:tcW w:w="71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26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r>
      <w:tr>
        <w:tblPrEx>
          <w:tblCellMar>
            <w:top w:w="0" w:type="dxa"/>
            <w:left w:w="108" w:type="dxa"/>
            <w:bottom w:w="0" w:type="dxa"/>
            <w:right w:w="108" w:type="dxa"/>
          </w:tblCellMar>
        </w:tblPrEx>
        <w:trPr>
          <w:trHeight w:val="315" w:hRule="atLeast"/>
        </w:trPr>
        <w:tc>
          <w:tcPr>
            <w:tcW w:w="566" w:type="dxa"/>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12</w:t>
            </w:r>
          </w:p>
        </w:tc>
        <w:tc>
          <w:tcPr>
            <w:tcW w:w="339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罗口巷、昂可巷、蔷薇路</w:t>
            </w:r>
          </w:p>
        </w:tc>
        <w:tc>
          <w:tcPr>
            <w:tcW w:w="715" w:type="dxa"/>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31</w:t>
            </w:r>
          </w:p>
        </w:tc>
        <w:tc>
          <w:tcPr>
            <w:tcW w:w="271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康普路、古情巷、鼎业街</w:t>
            </w:r>
          </w:p>
        </w:tc>
        <w:tc>
          <w:tcPr>
            <w:tcW w:w="71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50</w:t>
            </w:r>
          </w:p>
        </w:tc>
        <w:tc>
          <w:tcPr>
            <w:tcW w:w="271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鹿苑路、束河古道、</w:t>
            </w:r>
            <w:r>
              <w:rPr>
                <w:rFonts w:ascii="宋体" w:hAnsi="宋体" w:cs="宋体"/>
                <w:kern w:val="0"/>
                <w:sz w:val="15"/>
                <w:szCs w:val="15"/>
              </w:rPr>
              <w:fldChar w:fldCharType="begin"/>
            </w:r>
            <w:r>
              <w:rPr>
                <w:rFonts w:ascii="宋体" w:hAnsi="宋体" w:cs="宋体"/>
                <w:kern w:val="0"/>
                <w:sz w:val="15"/>
                <w:szCs w:val="15"/>
              </w:rPr>
              <w:instrText xml:space="preserve"> </w:instrText>
            </w:r>
            <w:r>
              <w:rPr>
                <w:rFonts w:hint="eastAsia" w:ascii="宋体" w:hAnsi="宋体" w:cs="宋体"/>
                <w:kern w:val="0"/>
                <w:sz w:val="15"/>
                <w:szCs w:val="15"/>
              </w:rPr>
              <w:instrText xml:space="preserve">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,9)</w:instrText>
            </w:r>
            <w:r>
              <w:rPr>
                <w:rFonts w:ascii="宋体" w:hAnsi="宋体" w:cs="宋体"/>
                <w:kern w:val="0"/>
                <w:sz w:val="15"/>
                <w:szCs w:val="15"/>
              </w:rPr>
              <w:fldChar w:fldCharType="end"/>
            </w:r>
          </w:p>
        </w:tc>
        <w:tc>
          <w:tcPr>
            <w:tcW w:w="71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26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r>
      <w:tr>
        <w:tblPrEx>
          <w:tblCellMar>
            <w:top w:w="0" w:type="dxa"/>
            <w:left w:w="108" w:type="dxa"/>
            <w:bottom w:w="0" w:type="dxa"/>
            <w:right w:w="108" w:type="dxa"/>
          </w:tblCellMar>
        </w:tblPrEx>
        <w:trPr>
          <w:trHeight w:val="315" w:hRule="atLeast"/>
        </w:trPr>
        <w:tc>
          <w:tcPr>
            <w:tcW w:w="566" w:type="dxa"/>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13</w:t>
            </w:r>
          </w:p>
        </w:tc>
        <w:tc>
          <w:tcPr>
            <w:tcW w:w="339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昂可巷、仁里路</w:t>
            </w:r>
          </w:p>
        </w:tc>
        <w:tc>
          <w:tcPr>
            <w:tcW w:w="715" w:type="dxa"/>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32</w:t>
            </w:r>
          </w:p>
        </w:tc>
        <w:tc>
          <w:tcPr>
            <w:tcW w:w="271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康普路、九鼎街、</w:t>
            </w:r>
            <w:r>
              <w:rPr>
                <w:rFonts w:ascii="宋体" w:hAnsi="宋体" w:cs="宋体"/>
                <w:kern w:val="0"/>
                <w:sz w:val="15"/>
                <w:szCs w:val="15"/>
              </w:rPr>
              <w:fldChar w:fldCharType="begin"/>
            </w:r>
            <w:r>
              <w:rPr>
                <w:rFonts w:ascii="宋体" w:hAnsi="宋体" w:cs="宋体"/>
                <w:kern w:val="0"/>
                <w:sz w:val="15"/>
                <w:szCs w:val="15"/>
              </w:rPr>
              <w:instrText xml:space="preserve"> </w:instrText>
            </w:r>
            <w:r>
              <w:rPr>
                <w:rFonts w:hint="eastAsia" w:ascii="宋体" w:hAnsi="宋体" w:cs="宋体"/>
                <w:kern w:val="0"/>
                <w:sz w:val="15"/>
                <w:szCs w:val="15"/>
              </w:rPr>
              <w:instrText xml:space="preserve">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,5)</w:instrText>
            </w:r>
            <w:r>
              <w:rPr>
                <w:rFonts w:ascii="宋体" w:hAnsi="宋体" w:cs="宋体"/>
                <w:kern w:val="0"/>
                <w:sz w:val="15"/>
                <w:szCs w:val="15"/>
              </w:rPr>
              <w:fldChar w:fldCharType="end"/>
            </w:r>
          </w:p>
        </w:tc>
        <w:tc>
          <w:tcPr>
            <w:tcW w:w="71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51</w:t>
            </w:r>
          </w:p>
        </w:tc>
        <w:tc>
          <w:tcPr>
            <w:tcW w:w="271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鹿苑路、中和街</w:t>
            </w:r>
          </w:p>
        </w:tc>
        <w:tc>
          <w:tcPr>
            <w:tcW w:w="71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26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r>
      <w:tr>
        <w:tblPrEx>
          <w:tblCellMar>
            <w:top w:w="0" w:type="dxa"/>
            <w:left w:w="108" w:type="dxa"/>
            <w:bottom w:w="0" w:type="dxa"/>
            <w:right w:w="108" w:type="dxa"/>
          </w:tblCellMar>
        </w:tblPrEx>
        <w:trPr>
          <w:trHeight w:val="315" w:hRule="atLeast"/>
        </w:trPr>
        <w:tc>
          <w:tcPr>
            <w:tcW w:w="566" w:type="dxa"/>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14</w:t>
            </w:r>
          </w:p>
        </w:tc>
        <w:tc>
          <w:tcPr>
            <w:tcW w:w="339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纳福巷、马锅头巷、仁里路</w:t>
            </w:r>
          </w:p>
        </w:tc>
        <w:tc>
          <w:tcPr>
            <w:tcW w:w="715" w:type="dxa"/>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33</w:t>
            </w:r>
          </w:p>
        </w:tc>
        <w:tc>
          <w:tcPr>
            <w:tcW w:w="271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ascii="宋体" w:hAnsi="宋体" w:cs="宋体"/>
                <w:kern w:val="0"/>
                <w:sz w:val="15"/>
                <w:szCs w:val="15"/>
              </w:rPr>
              <w:fldChar w:fldCharType="begin"/>
            </w:r>
            <w:r>
              <w:rPr>
                <w:rFonts w:ascii="宋体" w:hAnsi="宋体" w:cs="宋体"/>
                <w:kern w:val="0"/>
                <w:sz w:val="15"/>
                <w:szCs w:val="15"/>
              </w:rPr>
              <w:instrText xml:space="preserve"> </w:instrText>
            </w:r>
            <w:r>
              <w:rPr>
                <w:rFonts w:hint="eastAsia" w:ascii="宋体" w:hAnsi="宋体" w:cs="宋体"/>
                <w:kern w:val="0"/>
                <w:sz w:val="15"/>
                <w:szCs w:val="15"/>
              </w:rPr>
              <w:instrText xml:space="preserve">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,2)</w:instrText>
            </w:r>
            <w:r>
              <w:rPr>
                <w:rFonts w:ascii="宋体" w:hAnsi="宋体" w:cs="宋体"/>
                <w:kern w:val="0"/>
                <w:sz w:val="15"/>
                <w:szCs w:val="15"/>
              </w:rPr>
              <w:fldChar w:fldCharType="end"/>
            </w:r>
            <w:r>
              <w:rPr>
                <w:rFonts w:hint="eastAsia" w:ascii="宋体" w:hAnsi="宋体" w:cs="宋体"/>
                <w:kern w:val="0"/>
                <w:sz w:val="15"/>
                <w:szCs w:val="15"/>
              </w:rPr>
              <w:t>、街尾巷、九鼎街</w:t>
            </w:r>
          </w:p>
        </w:tc>
        <w:tc>
          <w:tcPr>
            <w:tcW w:w="71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52</w:t>
            </w:r>
          </w:p>
        </w:tc>
        <w:tc>
          <w:tcPr>
            <w:tcW w:w="271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中和街、十和路、束河古道、</w:t>
            </w:r>
            <w:r>
              <w:rPr>
                <w:rFonts w:ascii="宋体" w:hAnsi="宋体" w:cs="宋体"/>
                <w:kern w:val="0"/>
                <w:sz w:val="15"/>
                <w:szCs w:val="15"/>
              </w:rPr>
              <w:fldChar w:fldCharType="begin"/>
            </w:r>
            <w:r>
              <w:rPr>
                <w:rFonts w:ascii="宋体" w:hAnsi="宋体" w:cs="宋体"/>
                <w:kern w:val="0"/>
                <w:sz w:val="15"/>
                <w:szCs w:val="15"/>
              </w:rPr>
              <w:instrText xml:space="preserve"> </w:instrText>
            </w:r>
            <w:r>
              <w:rPr>
                <w:rFonts w:hint="eastAsia" w:ascii="宋体" w:hAnsi="宋体" w:cs="宋体"/>
                <w:kern w:val="0"/>
                <w:sz w:val="15"/>
                <w:szCs w:val="15"/>
              </w:rPr>
              <w:instrText xml:space="preserve">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,10)</w:instrText>
            </w:r>
            <w:r>
              <w:rPr>
                <w:rFonts w:ascii="宋体" w:hAnsi="宋体" w:cs="宋体"/>
                <w:kern w:val="0"/>
                <w:sz w:val="15"/>
                <w:szCs w:val="15"/>
              </w:rPr>
              <w:fldChar w:fldCharType="end"/>
            </w:r>
          </w:p>
        </w:tc>
        <w:tc>
          <w:tcPr>
            <w:tcW w:w="71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26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r>
      <w:tr>
        <w:tblPrEx>
          <w:tblCellMar>
            <w:top w:w="0" w:type="dxa"/>
            <w:left w:w="108" w:type="dxa"/>
            <w:bottom w:w="0" w:type="dxa"/>
            <w:right w:w="108" w:type="dxa"/>
          </w:tblCellMar>
        </w:tblPrEx>
        <w:trPr>
          <w:trHeight w:val="315" w:hRule="atLeast"/>
        </w:trPr>
        <w:tc>
          <w:tcPr>
            <w:tcW w:w="566" w:type="dxa"/>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15</w:t>
            </w:r>
          </w:p>
        </w:tc>
        <w:tc>
          <w:tcPr>
            <w:tcW w:w="339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仁里路、石莲巷、闯客巷</w:t>
            </w:r>
          </w:p>
        </w:tc>
        <w:tc>
          <w:tcPr>
            <w:tcW w:w="715" w:type="dxa"/>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34</w:t>
            </w:r>
          </w:p>
        </w:tc>
        <w:tc>
          <w:tcPr>
            <w:tcW w:w="271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ascii="宋体" w:hAnsi="宋体" w:cs="宋体"/>
                <w:kern w:val="0"/>
                <w:sz w:val="15"/>
                <w:szCs w:val="15"/>
              </w:rPr>
              <w:fldChar w:fldCharType="begin"/>
            </w:r>
            <w:r>
              <w:rPr>
                <w:rFonts w:ascii="宋体" w:hAnsi="宋体" w:cs="宋体"/>
                <w:kern w:val="0"/>
                <w:sz w:val="15"/>
                <w:szCs w:val="15"/>
              </w:rPr>
              <w:instrText xml:space="preserve"> </w:instrText>
            </w:r>
            <w:r>
              <w:rPr>
                <w:rFonts w:hint="eastAsia" w:ascii="宋体" w:hAnsi="宋体" w:cs="宋体"/>
                <w:kern w:val="0"/>
                <w:sz w:val="15"/>
                <w:szCs w:val="15"/>
              </w:rPr>
              <w:instrText xml:space="preserve">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,2)</w:instrText>
            </w:r>
            <w:r>
              <w:rPr>
                <w:rFonts w:ascii="宋体" w:hAnsi="宋体" w:cs="宋体"/>
                <w:kern w:val="0"/>
                <w:sz w:val="15"/>
                <w:szCs w:val="15"/>
              </w:rPr>
              <w:fldChar w:fldCharType="end"/>
            </w:r>
            <w:r>
              <w:rPr>
                <w:rFonts w:hint="eastAsia" w:ascii="宋体" w:hAnsi="宋体" w:cs="宋体"/>
                <w:kern w:val="0"/>
                <w:sz w:val="15"/>
                <w:szCs w:val="15"/>
              </w:rPr>
              <w:t>、街尾巷</w:t>
            </w:r>
          </w:p>
        </w:tc>
        <w:tc>
          <w:tcPr>
            <w:tcW w:w="71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53</w:t>
            </w:r>
          </w:p>
        </w:tc>
        <w:tc>
          <w:tcPr>
            <w:tcW w:w="271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十和路</w:t>
            </w:r>
          </w:p>
        </w:tc>
        <w:tc>
          <w:tcPr>
            <w:tcW w:w="71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26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r>
      <w:tr>
        <w:tblPrEx>
          <w:tblCellMar>
            <w:top w:w="0" w:type="dxa"/>
            <w:left w:w="108" w:type="dxa"/>
            <w:bottom w:w="0" w:type="dxa"/>
            <w:right w:w="108" w:type="dxa"/>
          </w:tblCellMar>
        </w:tblPrEx>
        <w:trPr>
          <w:trHeight w:val="315" w:hRule="atLeast"/>
        </w:trPr>
        <w:tc>
          <w:tcPr>
            <w:tcW w:w="566" w:type="dxa"/>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16</w:t>
            </w:r>
          </w:p>
        </w:tc>
        <w:tc>
          <w:tcPr>
            <w:tcW w:w="339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仁里路、石莲巷</w:t>
            </w:r>
          </w:p>
        </w:tc>
        <w:tc>
          <w:tcPr>
            <w:tcW w:w="715" w:type="dxa"/>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35</w:t>
            </w:r>
          </w:p>
        </w:tc>
        <w:tc>
          <w:tcPr>
            <w:tcW w:w="271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九鼎街、街尾巷、十和路、</w:t>
            </w:r>
            <w:r>
              <w:rPr>
                <w:rFonts w:ascii="宋体" w:hAnsi="宋体" w:cs="宋体"/>
                <w:kern w:val="0"/>
                <w:sz w:val="15"/>
                <w:szCs w:val="15"/>
              </w:rPr>
              <w:fldChar w:fldCharType="begin"/>
            </w:r>
            <w:r>
              <w:rPr>
                <w:rFonts w:ascii="宋体" w:hAnsi="宋体" w:cs="宋体"/>
                <w:kern w:val="0"/>
                <w:sz w:val="15"/>
                <w:szCs w:val="15"/>
              </w:rPr>
              <w:instrText xml:space="preserve"> </w:instrText>
            </w:r>
            <w:r>
              <w:rPr>
                <w:rFonts w:hint="eastAsia" w:ascii="宋体" w:hAnsi="宋体" w:cs="宋体"/>
                <w:kern w:val="0"/>
                <w:sz w:val="15"/>
                <w:szCs w:val="15"/>
              </w:rPr>
              <w:instrText xml:space="preserve">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,6)</w:instrText>
            </w:r>
            <w:r>
              <w:rPr>
                <w:rFonts w:ascii="宋体" w:hAnsi="宋体" w:cs="宋体"/>
                <w:kern w:val="0"/>
                <w:sz w:val="15"/>
                <w:szCs w:val="15"/>
              </w:rPr>
              <w:fldChar w:fldCharType="end"/>
            </w:r>
          </w:p>
        </w:tc>
        <w:tc>
          <w:tcPr>
            <w:tcW w:w="71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54</w:t>
            </w:r>
          </w:p>
        </w:tc>
        <w:tc>
          <w:tcPr>
            <w:tcW w:w="271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十和路、</w:t>
            </w:r>
            <w:r>
              <w:rPr>
                <w:rFonts w:ascii="宋体" w:hAnsi="宋体" w:cs="宋体"/>
                <w:kern w:val="0"/>
                <w:sz w:val="15"/>
                <w:szCs w:val="15"/>
              </w:rPr>
              <w:fldChar w:fldCharType="begin"/>
            </w:r>
            <w:r>
              <w:rPr>
                <w:rFonts w:ascii="宋体" w:hAnsi="宋体" w:cs="宋体"/>
                <w:kern w:val="0"/>
                <w:sz w:val="15"/>
                <w:szCs w:val="15"/>
              </w:rPr>
              <w:instrText xml:space="preserve"> </w:instrText>
            </w:r>
            <w:r>
              <w:rPr>
                <w:rFonts w:hint="eastAsia" w:ascii="宋体" w:hAnsi="宋体" w:cs="宋体"/>
                <w:kern w:val="0"/>
                <w:sz w:val="15"/>
                <w:szCs w:val="15"/>
              </w:rPr>
              <w:instrText xml:space="preserve">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,11)</w:instrText>
            </w:r>
            <w:r>
              <w:rPr>
                <w:rFonts w:ascii="宋体" w:hAnsi="宋体" w:cs="宋体"/>
                <w:kern w:val="0"/>
                <w:sz w:val="15"/>
                <w:szCs w:val="15"/>
              </w:rPr>
              <w:fldChar w:fldCharType="end"/>
            </w:r>
          </w:p>
        </w:tc>
        <w:tc>
          <w:tcPr>
            <w:tcW w:w="71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26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r>
      <w:tr>
        <w:tblPrEx>
          <w:tblCellMar>
            <w:top w:w="0" w:type="dxa"/>
            <w:left w:w="108" w:type="dxa"/>
            <w:bottom w:w="0" w:type="dxa"/>
            <w:right w:w="108" w:type="dxa"/>
          </w:tblCellMar>
        </w:tblPrEx>
        <w:trPr>
          <w:trHeight w:val="315" w:hRule="atLeast"/>
        </w:trPr>
        <w:tc>
          <w:tcPr>
            <w:tcW w:w="566" w:type="dxa"/>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17</w:t>
            </w:r>
          </w:p>
        </w:tc>
        <w:tc>
          <w:tcPr>
            <w:tcW w:w="339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仁里路、松云路、上云巷</w:t>
            </w:r>
          </w:p>
        </w:tc>
        <w:tc>
          <w:tcPr>
            <w:tcW w:w="715" w:type="dxa"/>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36</w:t>
            </w:r>
          </w:p>
        </w:tc>
        <w:tc>
          <w:tcPr>
            <w:tcW w:w="271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十和路、</w:t>
            </w:r>
            <w:r>
              <w:rPr>
                <w:rFonts w:ascii="宋体" w:hAnsi="宋体" w:cs="宋体"/>
                <w:kern w:val="0"/>
                <w:sz w:val="15"/>
                <w:szCs w:val="15"/>
              </w:rPr>
              <w:fldChar w:fldCharType="begin"/>
            </w:r>
            <w:r>
              <w:rPr>
                <w:rFonts w:ascii="宋体" w:hAnsi="宋体" w:cs="宋体"/>
                <w:kern w:val="0"/>
                <w:sz w:val="15"/>
                <w:szCs w:val="15"/>
              </w:rPr>
              <w:instrText xml:space="preserve"> </w:instrText>
            </w:r>
            <w:r>
              <w:rPr>
                <w:rFonts w:hint="eastAsia" w:ascii="宋体" w:hAnsi="宋体" w:cs="宋体"/>
                <w:kern w:val="0"/>
                <w:sz w:val="15"/>
                <w:szCs w:val="15"/>
              </w:rPr>
              <w:instrText xml:space="preserve">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,6)</w:instrText>
            </w:r>
            <w:r>
              <w:rPr>
                <w:rFonts w:ascii="宋体" w:hAnsi="宋体" w:cs="宋体"/>
                <w:kern w:val="0"/>
                <w:sz w:val="15"/>
                <w:szCs w:val="15"/>
              </w:rPr>
              <w:fldChar w:fldCharType="end"/>
            </w:r>
            <w:r>
              <w:rPr>
                <w:rFonts w:hint="eastAsia" w:ascii="宋体" w:hAnsi="宋体" w:cs="宋体"/>
                <w:kern w:val="0"/>
                <w:sz w:val="15"/>
                <w:szCs w:val="15"/>
              </w:rPr>
              <w:t>、藏情街</w:t>
            </w:r>
          </w:p>
        </w:tc>
        <w:tc>
          <w:tcPr>
            <w:tcW w:w="71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55</w:t>
            </w:r>
          </w:p>
        </w:tc>
        <w:tc>
          <w:tcPr>
            <w:tcW w:w="271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仁里路</w:t>
            </w:r>
          </w:p>
        </w:tc>
        <w:tc>
          <w:tcPr>
            <w:tcW w:w="71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26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r>
      <w:tr>
        <w:tblPrEx>
          <w:tblCellMar>
            <w:top w:w="0" w:type="dxa"/>
            <w:left w:w="108" w:type="dxa"/>
            <w:bottom w:w="0" w:type="dxa"/>
            <w:right w:w="108" w:type="dxa"/>
          </w:tblCellMar>
        </w:tblPrEx>
        <w:trPr>
          <w:trHeight w:val="570" w:hRule="atLeast"/>
        </w:trPr>
        <w:tc>
          <w:tcPr>
            <w:tcW w:w="566" w:type="dxa"/>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18</w:t>
            </w:r>
          </w:p>
        </w:tc>
        <w:tc>
          <w:tcPr>
            <w:tcW w:w="339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仁里路、松云路、上云巷</w:t>
            </w:r>
          </w:p>
        </w:tc>
        <w:tc>
          <w:tcPr>
            <w:tcW w:w="715" w:type="dxa"/>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37</w:t>
            </w:r>
          </w:p>
        </w:tc>
        <w:tc>
          <w:tcPr>
            <w:tcW w:w="271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丽水街、鼎业街</w:t>
            </w:r>
          </w:p>
        </w:tc>
        <w:tc>
          <w:tcPr>
            <w:tcW w:w="71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56</w:t>
            </w:r>
          </w:p>
        </w:tc>
        <w:tc>
          <w:tcPr>
            <w:tcW w:w="271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仁里路、</w:t>
            </w:r>
            <w:r>
              <w:rPr>
                <w:rFonts w:ascii="宋体" w:hAnsi="宋体" w:cs="宋体"/>
                <w:kern w:val="0"/>
                <w:sz w:val="15"/>
                <w:szCs w:val="15"/>
              </w:rPr>
              <w:fldChar w:fldCharType="begin"/>
            </w:r>
            <w:r>
              <w:rPr>
                <w:rFonts w:ascii="宋体" w:hAnsi="宋体" w:cs="宋体"/>
                <w:kern w:val="0"/>
                <w:sz w:val="15"/>
                <w:szCs w:val="15"/>
              </w:rPr>
              <w:instrText xml:space="preserve"> </w:instrText>
            </w:r>
            <w:r>
              <w:rPr>
                <w:rFonts w:hint="eastAsia" w:ascii="宋体" w:hAnsi="宋体" w:cs="宋体"/>
                <w:kern w:val="0"/>
                <w:sz w:val="15"/>
                <w:szCs w:val="15"/>
              </w:rPr>
              <w:instrText xml:space="preserve">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,12)</w:instrText>
            </w:r>
            <w:r>
              <w:rPr>
                <w:rFonts w:ascii="宋体" w:hAnsi="宋体" w:cs="宋体"/>
                <w:kern w:val="0"/>
                <w:sz w:val="15"/>
                <w:szCs w:val="15"/>
              </w:rPr>
              <w:fldChar w:fldCharType="end"/>
            </w:r>
          </w:p>
        </w:tc>
        <w:tc>
          <w:tcPr>
            <w:tcW w:w="252"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929"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r>
      <w:tr>
        <w:tblPrEx>
          <w:tblCellMar>
            <w:top w:w="0" w:type="dxa"/>
            <w:left w:w="108" w:type="dxa"/>
            <w:bottom w:w="0" w:type="dxa"/>
            <w:right w:w="108" w:type="dxa"/>
          </w:tblCellMar>
        </w:tblPrEx>
        <w:trPr>
          <w:trHeight w:val="501" w:hRule="atLeast"/>
        </w:trPr>
        <w:tc>
          <w:tcPr>
            <w:tcW w:w="566" w:type="dxa"/>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19</w:t>
            </w:r>
          </w:p>
        </w:tc>
        <w:tc>
          <w:tcPr>
            <w:tcW w:w="339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十和路、康普路、</w:t>
            </w:r>
            <w:r>
              <w:rPr>
                <w:rFonts w:ascii="宋体" w:hAnsi="宋体" w:cs="宋体"/>
                <w:kern w:val="0"/>
                <w:sz w:val="15"/>
                <w:szCs w:val="15"/>
              </w:rPr>
              <w:fldChar w:fldCharType="begin"/>
            </w:r>
            <w:r>
              <w:rPr>
                <w:rFonts w:ascii="宋体" w:hAnsi="宋体" w:cs="宋体"/>
                <w:kern w:val="0"/>
                <w:sz w:val="15"/>
                <w:szCs w:val="15"/>
              </w:rPr>
              <w:instrText xml:space="preserve"> </w:instrText>
            </w:r>
            <w:r>
              <w:rPr>
                <w:rFonts w:hint="eastAsia" w:ascii="宋体" w:hAnsi="宋体" w:cs="宋体"/>
                <w:kern w:val="0"/>
                <w:sz w:val="15"/>
                <w:szCs w:val="15"/>
              </w:rPr>
              <w:instrText xml:space="preserve">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,1)</w:instrText>
            </w:r>
            <w:r>
              <w:rPr>
                <w:rFonts w:ascii="宋体" w:hAnsi="宋体" w:cs="宋体"/>
                <w:kern w:val="0"/>
                <w:sz w:val="15"/>
                <w:szCs w:val="15"/>
              </w:rPr>
              <w:fldChar w:fldCharType="end"/>
            </w:r>
          </w:p>
        </w:tc>
        <w:tc>
          <w:tcPr>
            <w:tcW w:w="715" w:type="dxa"/>
            <w:tcBorders>
              <w:top w:val="nil"/>
              <w:left w:val="nil"/>
              <w:bottom w:val="single" w:color="auto" w:sz="4" w:space="0"/>
              <w:right w:val="single" w:color="auto" w:sz="4" w:space="0"/>
            </w:tcBorders>
            <w:shd w:val="clear" w:color="auto" w:fill="auto"/>
            <w:vAlign w:val="center"/>
          </w:tcPr>
          <w:p>
            <w:pPr>
              <w:widowControl/>
              <w:jc w:val="center"/>
              <w:rPr>
                <w:kern w:val="0"/>
                <w:sz w:val="15"/>
                <w:szCs w:val="15"/>
              </w:rPr>
            </w:pPr>
            <w:r>
              <w:rPr>
                <w:kern w:val="0"/>
                <w:sz w:val="15"/>
                <w:szCs w:val="15"/>
              </w:rPr>
              <w:t>38</w:t>
            </w:r>
          </w:p>
        </w:tc>
        <w:tc>
          <w:tcPr>
            <w:tcW w:w="271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鼎业街、</w:t>
            </w:r>
            <w:r>
              <w:rPr>
                <w:rFonts w:ascii="宋体" w:hAnsi="宋体" w:cs="宋体"/>
                <w:kern w:val="0"/>
                <w:sz w:val="15"/>
                <w:szCs w:val="15"/>
              </w:rPr>
              <w:fldChar w:fldCharType="begin"/>
            </w:r>
            <w:r>
              <w:rPr>
                <w:rFonts w:ascii="宋体" w:hAnsi="宋体" w:cs="宋体"/>
                <w:kern w:val="0"/>
                <w:sz w:val="15"/>
                <w:szCs w:val="15"/>
              </w:rPr>
              <w:instrText xml:space="preserve"> </w:instrText>
            </w:r>
            <w:r>
              <w:rPr>
                <w:rFonts w:hint="eastAsia" w:ascii="宋体" w:hAnsi="宋体" w:cs="宋体"/>
                <w:kern w:val="0"/>
                <w:sz w:val="15"/>
                <w:szCs w:val="15"/>
              </w:rPr>
              <w:instrText xml:space="preserve">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,6)</w:instrText>
            </w:r>
            <w:r>
              <w:rPr>
                <w:rFonts w:ascii="宋体" w:hAnsi="宋体" w:cs="宋体"/>
                <w:kern w:val="0"/>
                <w:sz w:val="15"/>
                <w:szCs w:val="15"/>
              </w:rPr>
              <w:fldChar w:fldCharType="end"/>
            </w:r>
          </w:p>
        </w:tc>
        <w:tc>
          <w:tcPr>
            <w:tcW w:w="71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57</w:t>
            </w:r>
          </w:p>
        </w:tc>
        <w:tc>
          <w:tcPr>
            <w:tcW w:w="271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仁里路、</w:t>
            </w:r>
            <w:r>
              <w:rPr>
                <w:rFonts w:ascii="宋体" w:hAnsi="宋体" w:cs="宋体"/>
                <w:kern w:val="0"/>
                <w:sz w:val="15"/>
                <w:szCs w:val="15"/>
              </w:rPr>
              <w:fldChar w:fldCharType="begin"/>
            </w:r>
            <w:r>
              <w:rPr>
                <w:rFonts w:ascii="宋体" w:hAnsi="宋体" w:cs="宋体"/>
                <w:kern w:val="0"/>
                <w:sz w:val="15"/>
                <w:szCs w:val="15"/>
              </w:rPr>
              <w:instrText xml:space="preserve"> </w:instrText>
            </w:r>
            <w:r>
              <w:rPr>
                <w:rFonts w:hint="eastAsia" w:ascii="宋体" w:hAnsi="宋体" w:cs="宋体"/>
                <w:kern w:val="0"/>
                <w:sz w:val="15"/>
                <w:szCs w:val="15"/>
              </w:rPr>
              <w:instrText xml:space="preserve">eq \o\ac(</w:instrText>
            </w:r>
            <w:r>
              <w:rPr>
                <w:rFonts w:hint="eastAsia" w:ascii="宋体" w:hAnsi="宋体" w:cs="宋体"/>
                <w:kern w:val="0"/>
                <w:position w:val="-3"/>
                <w:sz w:val="22"/>
                <w:szCs w:val="15"/>
              </w:rPr>
              <w:instrText xml:space="preserve">○</w:instrText>
            </w:r>
            <w:r>
              <w:rPr>
                <w:rFonts w:hint="eastAsia" w:ascii="宋体" w:hAnsi="宋体" w:cs="宋体"/>
                <w:kern w:val="0"/>
                <w:sz w:val="15"/>
                <w:szCs w:val="15"/>
              </w:rPr>
              <w:instrText xml:space="preserve">,12)</w:instrText>
            </w:r>
            <w:r>
              <w:rPr>
                <w:rFonts w:ascii="宋体" w:hAnsi="宋体" w:cs="宋体"/>
                <w:kern w:val="0"/>
                <w:sz w:val="15"/>
                <w:szCs w:val="15"/>
              </w:rPr>
              <w:fldChar w:fldCharType="end"/>
            </w:r>
          </w:p>
        </w:tc>
        <w:tc>
          <w:tcPr>
            <w:tcW w:w="252"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929"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r>
    </w:tbl>
    <w:p>
      <w:pPr>
        <w:rPr>
          <w:b/>
          <w:sz w:val="24"/>
        </w:rPr>
        <w:sectPr>
          <w:pgSz w:w="16838" w:h="11906" w:orient="landscape"/>
          <w:pgMar w:top="1803" w:right="1440" w:bottom="1803" w:left="1440" w:header="851" w:footer="992" w:gutter="0"/>
          <w:cols w:space="0" w:num="1"/>
          <w:docGrid w:type="lines" w:linePitch="319" w:charSpace="0"/>
        </w:sectPr>
      </w:pPr>
    </w:p>
    <w:p>
      <w:pPr>
        <w:pStyle w:val="2"/>
        <w:rPr>
          <w:sz w:val="32"/>
          <w:szCs w:val="32"/>
        </w:rPr>
      </w:pPr>
      <w:bookmarkStart w:id="32" w:name="_Toc5585"/>
      <w:r>
        <w:rPr>
          <w:rFonts w:hint="eastAsia"/>
          <w:sz w:val="32"/>
          <w:szCs w:val="32"/>
        </w:rPr>
        <w:t>附图F 古城主要道路宽度分布图</w:t>
      </w:r>
      <w:bookmarkEnd w:id="32"/>
    </w:p>
    <w:p>
      <w:pPr>
        <w:spacing w:line="360" w:lineRule="auto"/>
        <w:jc w:val="center"/>
        <w:rPr>
          <w:b/>
          <w:sz w:val="24"/>
        </w:rPr>
      </w:pPr>
      <w:r>
        <w:rPr>
          <w:rFonts w:hint="eastAsia" w:eastAsiaTheme="minorEastAsia"/>
        </w:rPr>
        <w:drawing>
          <wp:inline distT="0" distB="0" distL="114300" distR="114300">
            <wp:extent cx="4603750" cy="5270500"/>
            <wp:effectExtent l="0" t="0" r="13970" b="2540"/>
            <wp:docPr id="8" name="图片 8" descr="大研道路宽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大研道路宽度"/>
                    <pic:cNvPicPr>
                      <a:picLocks noChangeAspect="1"/>
                    </pic:cNvPicPr>
                  </pic:nvPicPr>
                  <pic:blipFill>
                    <a:blip r:embed="rId13"/>
                    <a:stretch>
                      <a:fillRect/>
                    </a:stretch>
                  </pic:blipFill>
                  <pic:spPr>
                    <a:xfrm>
                      <a:off x="0" y="0"/>
                      <a:ext cx="4603750" cy="5270500"/>
                    </a:xfrm>
                    <a:prstGeom prst="rect">
                      <a:avLst/>
                    </a:prstGeom>
                  </pic:spPr>
                </pic:pic>
              </a:graphicData>
            </a:graphic>
          </wp:inline>
        </w:drawing>
      </w:r>
    </w:p>
    <w:p>
      <w:pPr>
        <w:rPr>
          <w:b/>
          <w:sz w:val="24"/>
        </w:rPr>
      </w:pPr>
    </w:p>
    <w:p>
      <w:pPr>
        <w:jc w:val="center"/>
        <w:rPr>
          <w:b/>
          <w:bCs/>
          <w:sz w:val="24"/>
        </w:rPr>
      </w:pPr>
      <w:r>
        <w:rPr>
          <w:rFonts w:hint="eastAsia"/>
          <w:b/>
          <w:bCs/>
          <w:sz w:val="24"/>
        </w:rPr>
        <w:t>F01大研街区道路宽度分布图</w:t>
      </w:r>
    </w:p>
    <w:p>
      <w:pPr>
        <w:rPr>
          <w:b/>
          <w:sz w:val="24"/>
        </w:rPr>
      </w:pPr>
    </w:p>
    <w:p>
      <w:pPr>
        <w:spacing w:line="360" w:lineRule="auto"/>
        <w:jc w:val="center"/>
        <w:rPr>
          <w:rFonts w:eastAsiaTheme="minorEastAsia"/>
        </w:rPr>
      </w:pPr>
      <w:r>
        <w:rPr>
          <w:rFonts w:hint="eastAsia" w:eastAsiaTheme="minorEastAsia"/>
        </w:rPr>
        <w:drawing>
          <wp:inline distT="0" distB="0" distL="114300" distR="114300">
            <wp:extent cx="3915410" cy="5273040"/>
            <wp:effectExtent l="0" t="0" r="1270" b="0"/>
            <wp:docPr id="10" name="图片 10" descr="束河道路宽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束河道路宽度"/>
                    <pic:cNvPicPr>
                      <a:picLocks noChangeAspect="1"/>
                    </pic:cNvPicPr>
                  </pic:nvPicPr>
                  <pic:blipFill>
                    <a:blip r:embed="rId14"/>
                    <a:stretch>
                      <a:fillRect/>
                    </a:stretch>
                  </pic:blipFill>
                  <pic:spPr>
                    <a:xfrm>
                      <a:off x="0" y="0"/>
                      <a:ext cx="3915410" cy="5273040"/>
                    </a:xfrm>
                    <a:prstGeom prst="rect">
                      <a:avLst/>
                    </a:prstGeom>
                  </pic:spPr>
                </pic:pic>
              </a:graphicData>
            </a:graphic>
          </wp:inline>
        </w:drawing>
      </w:r>
    </w:p>
    <w:p>
      <w:pPr>
        <w:spacing w:line="360" w:lineRule="auto"/>
        <w:jc w:val="center"/>
        <w:rPr>
          <w:b/>
          <w:sz w:val="24"/>
        </w:rPr>
      </w:pPr>
    </w:p>
    <w:p>
      <w:pPr>
        <w:jc w:val="center"/>
        <w:rPr>
          <w:b/>
          <w:bCs/>
          <w:sz w:val="24"/>
        </w:rPr>
      </w:pPr>
      <w:r>
        <w:rPr>
          <w:rFonts w:hint="eastAsia"/>
          <w:b/>
          <w:bCs/>
          <w:sz w:val="24"/>
        </w:rPr>
        <w:t>F02束河街区道路宽度分布图</w:t>
      </w:r>
    </w:p>
    <w:p>
      <w:pPr>
        <w:spacing w:line="360" w:lineRule="auto"/>
        <w:jc w:val="center"/>
        <w:rPr>
          <w:rFonts w:eastAsiaTheme="minorEastAsia"/>
        </w:rPr>
      </w:pPr>
    </w:p>
    <w:p>
      <w:pPr>
        <w:spacing w:line="360" w:lineRule="auto"/>
        <w:jc w:val="center"/>
        <w:rPr>
          <w:rFonts w:eastAsiaTheme="minorEastAsia"/>
        </w:rPr>
      </w:pPr>
      <w:r>
        <w:rPr>
          <w:rFonts w:hint="eastAsia" w:eastAsiaTheme="minorEastAsia"/>
        </w:rPr>
        <w:drawing>
          <wp:inline distT="0" distB="0" distL="114300" distR="114300">
            <wp:extent cx="4890770" cy="5267960"/>
            <wp:effectExtent l="0" t="0" r="1270" b="5080"/>
            <wp:docPr id="12" name="图片 12" descr="白沙宽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白沙宽度"/>
                    <pic:cNvPicPr>
                      <a:picLocks noChangeAspect="1"/>
                    </pic:cNvPicPr>
                  </pic:nvPicPr>
                  <pic:blipFill>
                    <a:blip r:embed="rId15"/>
                    <a:stretch>
                      <a:fillRect/>
                    </a:stretch>
                  </pic:blipFill>
                  <pic:spPr>
                    <a:xfrm>
                      <a:off x="0" y="0"/>
                      <a:ext cx="4890770" cy="5267960"/>
                    </a:xfrm>
                    <a:prstGeom prst="rect">
                      <a:avLst/>
                    </a:prstGeom>
                  </pic:spPr>
                </pic:pic>
              </a:graphicData>
            </a:graphic>
          </wp:inline>
        </w:drawing>
      </w:r>
    </w:p>
    <w:p>
      <w:pPr>
        <w:spacing w:line="360" w:lineRule="auto"/>
        <w:jc w:val="center"/>
        <w:rPr>
          <w:rFonts w:eastAsiaTheme="minorEastAsia"/>
        </w:rPr>
      </w:pPr>
    </w:p>
    <w:p>
      <w:pPr>
        <w:jc w:val="center"/>
        <w:rPr>
          <w:b/>
          <w:bCs/>
          <w:sz w:val="24"/>
        </w:rPr>
      </w:pPr>
      <w:r>
        <w:rPr>
          <w:rFonts w:hint="eastAsia"/>
          <w:b/>
          <w:bCs/>
          <w:sz w:val="24"/>
        </w:rPr>
        <w:t>F03 白沙街区道路宽度分布图</w:t>
      </w:r>
    </w:p>
    <w:p>
      <w:pPr>
        <w:rPr>
          <w:rFonts w:eastAsiaTheme="minorEastAsia"/>
        </w:rPr>
      </w:pPr>
      <w:r>
        <w:rPr>
          <w:rFonts w:hint="eastAsia" w:eastAsiaTheme="minorEastAsia"/>
        </w:rPr>
        <w:br w:type="page"/>
      </w:r>
    </w:p>
    <w:p>
      <w:pPr>
        <w:pStyle w:val="2"/>
        <w:rPr>
          <w:sz w:val="32"/>
          <w:szCs w:val="32"/>
        </w:rPr>
      </w:pPr>
      <w:bookmarkStart w:id="33" w:name="_Toc19312"/>
      <w:r>
        <w:rPr>
          <w:rFonts w:hint="eastAsia"/>
          <w:sz w:val="32"/>
          <w:szCs w:val="32"/>
        </w:rPr>
        <w:t>附图G 古城市政管网水压分布图</w:t>
      </w:r>
      <w:bookmarkEnd w:id="33"/>
    </w:p>
    <w:p>
      <w:pPr>
        <w:spacing w:line="360" w:lineRule="auto"/>
        <w:rPr>
          <w:b/>
          <w:sz w:val="24"/>
        </w:rPr>
      </w:pPr>
      <w:r>
        <w:rPr>
          <w:rFonts w:hint="eastAsia"/>
          <w:b/>
          <w:sz w:val="24"/>
        </w:rPr>
        <w:drawing>
          <wp:inline distT="0" distB="0" distL="114300" distR="114300">
            <wp:extent cx="5433060" cy="4176395"/>
            <wp:effectExtent l="0" t="0" r="7620" b="14605"/>
            <wp:docPr id="9" name="图片 9" descr="e56deaf067cc57c51cac74efd3112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56deaf067cc57c51cac74efd3112a6"/>
                    <pic:cNvPicPr>
                      <a:picLocks noChangeAspect="1"/>
                    </pic:cNvPicPr>
                  </pic:nvPicPr>
                  <pic:blipFill>
                    <a:blip r:embed="rId16"/>
                    <a:stretch>
                      <a:fillRect/>
                    </a:stretch>
                  </pic:blipFill>
                  <pic:spPr>
                    <a:xfrm>
                      <a:off x="0" y="0"/>
                      <a:ext cx="5433060" cy="4176395"/>
                    </a:xfrm>
                    <a:prstGeom prst="rect">
                      <a:avLst/>
                    </a:prstGeom>
                  </pic:spPr>
                </pic:pic>
              </a:graphicData>
            </a:graphic>
          </wp:inline>
        </w:drawing>
      </w:r>
    </w:p>
    <w:p>
      <w:pPr>
        <w:spacing w:line="360" w:lineRule="auto"/>
        <w:jc w:val="center"/>
        <w:rPr>
          <w:b/>
          <w:sz w:val="24"/>
        </w:rPr>
      </w:pPr>
      <w:r>
        <w:rPr>
          <w:rFonts w:hint="eastAsia"/>
          <w:b/>
          <w:sz w:val="24"/>
        </w:rPr>
        <w:t>G01 大研古城各区域水压分布图</w:t>
      </w:r>
    </w:p>
    <w:p>
      <w:pPr>
        <w:rPr>
          <w:b/>
          <w:sz w:val="24"/>
        </w:rPr>
      </w:pPr>
      <w:r>
        <w:rPr>
          <w:rFonts w:hint="eastAsia"/>
          <w:b/>
          <w:sz w:val="24"/>
        </w:rPr>
        <w:br w:type="page"/>
      </w:r>
    </w:p>
    <w:p>
      <w:pPr>
        <w:spacing w:line="360" w:lineRule="auto"/>
        <w:jc w:val="center"/>
        <w:rPr>
          <w:b/>
          <w:sz w:val="24"/>
        </w:rPr>
      </w:pPr>
    </w:p>
    <w:p>
      <w:pPr>
        <w:rPr>
          <w:b/>
          <w:sz w:val="24"/>
        </w:rPr>
      </w:pPr>
      <w:r>
        <w:rPr>
          <w:rFonts w:hint="eastAsia"/>
          <w:b/>
          <w:sz w:val="24"/>
        </w:rPr>
        <w:drawing>
          <wp:inline distT="0" distB="0" distL="114300" distR="114300">
            <wp:extent cx="4922520" cy="4953000"/>
            <wp:effectExtent l="0" t="0" r="0" b="0"/>
            <wp:docPr id="15" name="图片 15" descr="9b4eaf7a094543d8a6e73f7ef84ba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b4eaf7a094543d8a6e73f7ef84ba64"/>
                    <pic:cNvPicPr>
                      <a:picLocks noChangeAspect="1"/>
                    </pic:cNvPicPr>
                  </pic:nvPicPr>
                  <pic:blipFill>
                    <a:blip r:embed="rId17"/>
                    <a:stretch>
                      <a:fillRect/>
                    </a:stretch>
                  </pic:blipFill>
                  <pic:spPr>
                    <a:xfrm>
                      <a:off x="0" y="0"/>
                      <a:ext cx="4922520" cy="4953000"/>
                    </a:xfrm>
                    <a:prstGeom prst="rect">
                      <a:avLst/>
                    </a:prstGeom>
                  </pic:spPr>
                </pic:pic>
              </a:graphicData>
            </a:graphic>
          </wp:inline>
        </w:drawing>
      </w:r>
    </w:p>
    <w:p>
      <w:pPr>
        <w:jc w:val="center"/>
        <w:rPr>
          <w:b/>
          <w:sz w:val="24"/>
        </w:rPr>
      </w:pPr>
      <w:r>
        <w:rPr>
          <w:rFonts w:hint="eastAsia"/>
          <w:b/>
          <w:sz w:val="24"/>
        </w:rPr>
        <w:t>G02 束河古镇各区域水压分布图</w:t>
      </w:r>
    </w:p>
    <w:p>
      <w:pPr>
        <w:rPr>
          <w:b/>
          <w:sz w:val="24"/>
        </w:rPr>
      </w:pPr>
      <w:r>
        <w:rPr>
          <w:rFonts w:hint="eastAsia"/>
          <w:b/>
          <w:sz w:val="24"/>
        </w:rPr>
        <w:br w:type="page"/>
      </w:r>
    </w:p>
    <w:p>
      <w:pPr>
        <w:spacing w:line="360" w:lineRule="auto"/>
        <w:rPr>
          <w:rFonts w:eastAsiaTheme="majorEastAsia"/>
          <w:sz w:val="24"/>
          <w:shd w:val="clear" w:color="auto" w:fill="FFFFFF"/>
        </w:rPr>
      </w:pPr>
    </w:p>
    <w:sectPr>
      <w:pgSz w:w="11906" w:h="16838"/>
      <w:pgMar w:top="1440" w:right="1803" w:bottom="1440" w:left="1803"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BT/l0mEAIAAAkEAAAOAAAAAAAAAAEAIAAA&#10;AB8BAABkcnMvZTJvRG9jLnhtbFBLBQYAAAAABgAGAFkBAAChBQAAAAA=&#10;">
              <v:fill on="f" focussize="0,0"/>
              <v:stroke on="f" weight="0.5pt"/>
              <v:imagedata o:title=""/>
              <o:lock v:ext="edit" aspectratio="f"/>
              <v:textbox inset="0mm,0mm,0mm,0mm" style="mso-fit-shape-to-text:t;">
                <w:txbxContent>
                  <w:p>
                    <w:pPr>
                      <w:pStyle w:val="5"/>
                    </w:pP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D0686AB"/>
    <w:multiLevelType w:val="singleLevel"/>
    <w:tmpl w:val="ED0686AB"/>
    <w:lvl w:ilvl="0" w:tentative="0">
      <w:start w:val="1"/>
      <w:numFmt w:val="decimal"/>
      <w:lvlText w:val="(%1)"/>
      <w:lvlJc w:val="left"/>
      <w:pPr>
        <w:tabs>
          <w:tab w:val="left" w:pos="312"/>
        </w:tabs>
      </w:pPr>
    </w:lvl>
  </w:abstractNum>
  <w:abstractNum w:abstractNumId="1">
    <w:nsid w:val="FAFE9A30"/>
    <w:multiLevelType w:val="singleLevel"/>
    <w:tmpl w:val="FAFE9A30"/>
    <w:lvl w:ilvl="0" w:tentative="0">
      <w:start w:val="1"/>
      <w:numFmt w:val="upperLetter"/>
      <w:lvlText w:val="%1."/>
      <w:lvlJc w:val="left"/>
      <w:pPr>
        <w:tabs>
          <w:tab w:val="left" w:pos="312"/>
        </w:tabs>
      </w:pPr>
    </w:lvl>
  </w:abstractNum>
  <w:abstractNum w:abstractNumId="2">
    <w:nsid w:val="4CCB0FC6"/>
    <w:multiLevelType w:val="singleLevel"/>
    <w:tmpl w:val="4CCB0FC6"/>
    <w:lvl w:ilvl="0" w:tentative="0">
      <w:start w:val="1"/>
      <w:numFmt w:val="decimal"/>
      <w:lvlText w:val="(%1)"/>
      <w:lvlJc w:val="left"/>
      <w:pPr>
        <w:tabs>
          <w:tab w:val="left" w:pos="312"/>
        </w:tabs>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SystemFonts/>
  <w:documentProtection w:enforcement="0"/>
  <w:defaultTabStop w:val="420"/>
  <w:drawingGridVerticalSpacing w:val="159"/>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FjZTRiZjQ5MTgzNGE0YjEzYTY5MjY0ZTA5Y2M2NWIifQ=="/>
  </w:docVars>
  <w:rsids>
    <w:rsidRoot w:val="0149698D"/>
    <w:rsid w:val="00224036"/>
    <w:rsid w:val="00295667"/>
    <w:rsid w:val="00305CE7"/>
    <w:rsid w:val="006B6D9B"/>
    <w:rsid w:val="00A64B2A"/>
    <w:rsid w:val="00B86F0B"/>
    <w:rsid w:val="00B93ED4"/>
    <w:rsid w:val="00BE1545"/>
    <w:rsid w:val="00C41254"/>
    <w:rsid w:val="00E62142"/>
    <w:rsid w:val="0149698D"/>
    <w:rsid w:val="018B7612"/>
    <w:rsid w:val="02317AF5"/>
    <w:rsid w:val="025C5CB3"/>
    <w:rsid w:val="032406AD"/>
    <w:rsid w:val="041E20F6"/>
    <w:rsid w:val="05157BA2"/>
    <w:rsid w:val="053C6747"/>
    <w:rsid w:val="05C35687"/>
    <w:rsid w:val="05DC76E9"/>
    <w:rsid w:val="06EF1762"/>
    <w:rsid w:val="0751018E"/>
    <w:rsid w:val="08A90D2D"/>
    <w:rsid w:val="090E72E7"/>
    <w:rsid w:val="091F45D0"/>
    <w:rsid w:val="09630EDC"/>
    <w:rsid w:val="09FA03E4"/>
    <w:rsid w:val="0A0D08BB"/>
    <w:rsid w:val="0A7F0526"/>
    <w:rsid w:val="0ADB0395"/>
    <w:rsid w:val="0AE4007A"/>
    <w:rsid w:val="0C2E2BDB"/>
    <w:rsid w:val="0C5908D8"/>
    <w:rsid w:val="0CAF74DE"/>
    <w:rsid w:val="0D0C308B"/>
    <w:rsid w:val="0D1E2B4B"/>
    <w:rsid w:val="0D693DF0"/>
    <w:rsid w:val="0DE245C7"/>
    <w:rsid w:val="0DF30354"/>
    <w:rsid w:val="0E17442F"/>
    <w:rsid w:val="0E511816"/>
    <w:rsid w:val="0E7861D4"/>
    <w:rsid w:val="0E8A0EC1"/>
    <w:rsid w:val="0F0D2F48"/>
    <w:rsid w:val="10044AD2"/>
    <w:rsid w:val="10787257"/>
    <w:rsid w:val="11200C70"/>
    <w:rsid w:val="115640B1"/>
    <w:rsid w:val="117174BA"/>
    <w:rsid w:val="11950F9D"/>
    <w:rsid w:val="11980D24"/>
    <w:rsid w:val="11D16BFE"/>
    <w:rsid w:val="126C61B9"/>
    <w:rsid w:val="12D844DF"/>
    <w:rsid w:val="1323486E"/>
    <w:rsid w:val="1333586B"/>
    <w:rsid w:val="13A10170"/>
    <w:rsid w:val="145B5DA6"/>
    <w:rsid w:val="14E510CA"/>
    <w:rsid w:val="152637C6"/>
    <w:rsid w:val="15A4007B"/>
    <w:rsid w:val="15C656AF"/>
    <w:rsid w:val="16167904"/>
    <w:rsid w:val="16AE1C29"/>
    <w:rsid w:val="16DC327E"/>
    <w:rsid w:val="170D7B31"/>
    <w:rsid w:val="172A0CA2"/>
    <w:rsid w:val="173F0520"/>
    <w:rsid w:val="1764287E"/>
    <w:rsid w:val="19B47ED9"/>
    <w:rsid w:val="19C21CEB"/>
    <w:rsid w:val="1A184C40"/>
    <w:rsid w:val="1A2B178C"/>
    <w:rsid w:val="1D4726CE"/>
    <w:rsid w:val="1DC847A4"/>
    <w:rsid w:val="1E1C4B2B"/>
    <w:rsid w:val="1FBA6E32"/>
    <w:rsid w:val="1FF16DE9"/>
    <w:rsid w:val="200E0A62"/>
    <w:rsid w:val="21664C43"/>
    <w:rsid w:val="231E2F17"/>
    <w:rsid w:val="232955AA"/>
    <w:rsid w:val="23671171"/>
    <w:rsid w:val="2423154A"/>
    <w:rsid w:val="242C1EFB"/>
    <w:rsid w:val="24525702"/>
    <w:rsid w:val="256125DB"/>
    <w:rsid w:val="25702C6B"/>
    <w:rsid w:val="25AD7CEA"/>
    <w:rsid w:val="26242771"/>
    <w:rsid w:val="264C3AF0"/>
    <w:rsid w:val="26E3145A"/>
    <w:rsid w:val="26EA5915"/>
    <w:rsid w:val="271B0BF0"/>
    <w:rsid w:val="275A1AE7"/>
    <w:rsid w:val="276E51C4"/>
    <w:rsid w:val="2929786F"/>
    <w:rsid w:val="293241E0"/>
    <w:rsid w:val="29325DDB"/>
    <w:rsid w:val="295A08AB"/>
    <w:rsid w:val="296F6CAD"/>
    <w:rsid w:val="2A120311"/>
    <w:rsid w:val="2A5243A4"/>
    <w:rsid w:val="2B7C6AC1"/>
    <w:rsid w:val="2BD8512A"/>
    <w:rsid w:val="2BEA293F"/>
    <w:rsid w:val="2C5801F0"/>
    <w:rsid w:val="2C916BA6"/>
    <w:rsid w:val="2D404077"/>
    <w:rsid w:val="2DC7246E"/>
    <w:rsid w:val="2EA8527E"/>
    <w:rsid w:val="2ED65AEE"/>
    <w:rsid w:val="2F7D6357"/>
    <w:rsid w:val="302428C3"/>
    <w:rsid w:val="30CE2576"/>
    <w:rsid w:val="310B0C59"/>
    <w:rsid w:val="31971D22"/>
    <w:rsid w:val="32052886"/>
    <w:rsid w:val="32125027"/>
    <w:rsid w:val="328E443D"/>
    <w:rsid w:val="32F01183"/>
    <w:rsid w:val="32F73F78"/>
    <w:rsid w:val="342A4CEF"/>
    <w:rsid w:val="345C1420"/>
    <w:rsid w:val="348959AF"/>
    <w:rsid w:val="34A939A3"/>
    <w:rsid w:val="34E823AE"/>
    <w:rsid w:val="351D41E5"/>
    <w:rsid w:val="357339A5"/>
    <w:rsid w:val="35A961F8"/>
    <w:rsid w:val="35E41315"/>
    <w:rsid w:val="36C416DE"/>
    <w:rsid w:val="36D5794A"/>
    <w:rsid w:val="379522F8"/>
    <w:rsid w:val="384B783F"/>
    <w:rsid w:val="39794E9B"/>
    <w:rsid w:val="3991089E"/>
    <w:rsid w:val="39936487"/>
    <w:rsid w:val="39C6196E"/>
    <w:rsid w:val="3A144B9C"/>
    <w:rsid w:val="3B951496"/>
    <w:rsid w:val="3BB8619F"/>
    <w:rsid w:val="3C1665F8"/>
    <w:rsid w:val="3C5A141B"/>
    <w:rsid w:val="3C6E73E0"/>
    <w:rsid w:val="3D3E7353"/>
    <w:rsid w:val="3E814074"/>
    <w:rsid w:val="3E957987"/>
    <w:rsid w:val="40752942"/>
    <w:rsid w:val="41CA7043"/>
    <w:rsid w:val="41E26ABE"/>
    <w:rsid w:val="427B607E"/>
    <w:rsid w:val="42AD0807"/>
    <w:rsid w:val="43443B16"/>
    <w:rsid w:val="43841CFC"/>
    <w:rsid w:val="438F5A57"/>
    <w:rsid w:val="43B21B3C"/>
    <w:rsid w:val="443A4603"/>
    <w:rsid w:val="45363F3E"/>
    <w:rsid w:val="45A04EBC"/>
    <w:rsid w:val="4696177C"/>
    <w:rsid w:val="47685032"/>
    <w:rsid w:val="48F7754A"/>
    <w:rsid w:val="4A0F65DB"/>
    <w:rsid w:val="4AFE19FD"/>
    <w:rsid w:val="4CAD1440"/>
    <w:rsid w:val="4CEA2513"/>
    <w:rsid w:val="4D3165F7"/>
    <w:rsid w:val="4D447CA9"/>
    <w:rsid w:val="4D5D0D6B"/>
    <w:rsid w:val="4D7B6CBA"/>
    <w:rsid w:val="4D9F73E8"/>
    <w:rsid w:val="4DEE360E"/>
    <w:rsid w:val="4EB77B4E"/>
    <w:rsid w:val="4F1B5967"/>
    <w:rsid w:val="4F2C24C9"/>
    <w:rsid w:val="4F74239C"/>
    <w:rsid w:val="50153262"/>
    <w:rsid w:val="50E051E3"/>
    <w:rsid w:val="50E579F5"/>
    <w:rsid w:val="50F76EEE"/>
    <w:rsid w:val="516F3EC1"/>
    <w:rsid w:val="519B2AFB"/>
    <w:rsid w:val="51AE700E"/>
    <w:rsid w:val="526722B9"/>
    <w:rsid w:val="52EB3E9D"/>
    <w:rsid w:val="52F52612"/>
    <w:rsid w:val="531E419E"/>
    <w:rsid w:val="53764710"/>
    <w:rsid w:val="53EA5386"/>
    <w:rsid w:val="540F354D"/>
    <w:rsid w:val="542D0C8C"/>
    <w:rsid w:val="548337AD"/>
    <w:rsid w:val="55545149"/>
    <w:rsid w:val="556D1537"/>
    <w:rsid w:val="55943798"/>
    <w:rsid w:val="55967D63"/>
    <w:rsid w:val="562A4829"/>
    <w:rsid w:val="562E7518"/>
    <w:rsid w:val="56711424"/>
    <w:rsid w:val="571D341E"/>
    <w:rsid w:val="583B0D6B"/>
    <w:rsid w:val="599C5ABB"/>
    <w:rsid w:val="59A07633"/>
    <w:rsid w:val="59E153BC"/>
    <w:rsid w:val="59F228BF"/>
    <w:rsid w:val="5ADE4026"/>
    <w:rsid w:val="5B3805B4"/>
    <w:rsid w:val="5B4A2B00"/>
    <w:rsid w:val="5BBD3287"/>
    <w:rsid w:val="5BDD7C46"/>
    <w:rsid w:val="5CD53CAD"/>
    <w:rsid w:val="5E03770C"/>
    <w:rsid w:val="5ED45A8B"/>
    <w:rsid w:val="5ED76960"/>
    <w:rsid w:val="5F235D91"/>
    <w:rsid w:val="60946F10"/>
    <w:rsid w:val="61493688"/>
    <w:rsid w:val="61644B51"/>
    <w:rsid w:val="617931FA"/>
    <w:rsid w:val="61AF0D8F"/>
    <w:rsid w:val="62031A89"/>
    <w:rsid w:val="624B3D38"/>
    <w:rsid w:val="62A00D5B"/>
    <w:rsid w:val="641D38C6"/>
    <w:rsid w:val="64CA4F80"/>
    <w:rsid w:val="6502071E"/>
    <w:rsid w:val="65195B71"/>
    <w:rsid w:val="65DB4655"/>
    <w:rsid w:val="65FF4C5D"/>
    <w:rsid w:val="66CB4C22"/>
    <w:rsid w:val="675978C3"/>
    <w:rsid w:val="678D35C5"/>
    <w:rsid w:val="67D67452"/>
    <w:rsid w:val="67E91721"/>
    <w:rsid w:val="68902591"/>
    <w:rsid w:val="68922977"/>
    <w:rsid w:val="69FA7C16"/>
    <w:rsid w:val="6A7C0695"/>
    <w:rsid w:val="6AEA5C29"/>
    <w:rsid w:val="6BB81B36"/>
    <w:rsid w:val="6BF619B3"/>
    <w:rsid w:val="6BF7317F"/>
    <w:rsid w:val="6CF966CD"/>
    <w:rsid w:val="6DB97122"/>
    <w:rsid w:val="6DE81023"/>
    <w:rsid w:val="6E0C6778"/>
    <w:rsid w:val="6E443B55"/>
    <w:rsid w:val="6F140536"/>
    <w:rsid w:val="6F92768A"/>
    <w:rsid w:val="6F9920B9"/>
    <w:rsid w:val="6FAB2D27"/>
    <w:rsid w:val="70DB070F"/>
    <w:rsid w:val="712E4B8B"/>
    <w:rsid w:val="7164006A"/>
    <w:rsid w:val="7358000A"/>
    <w:rsid w:val="7475709A"/>
    <w:rsid w:val="75587EE6"/>
    <w:rsid w:val="76547078"/>
    <w:rsid w:val="76A561A9"/>
    <w:rsid w:val="76B63116"/>
    <w:rsid w:val="76BE220F"/>
    <w:rsid w:val="7766704D"/>
    <w:rsid w:val="77DC59D6"/>
    <w:rsid w:val="77FF03B0"/>
    <w:rsid w:val="781E48EC"/>
    <w:rsid w:val="78453B4A"/>
    <w:rsid w:val="79C070FC"/>
    <w:rsid w:val="79EB37FE"/>
    <w:rsid w:val="7A1C78F0"/>
    <w:rsid w:val="7ADE4269"/>
    <w:rsid w:val="7D325253"/>
    <w:rsid w:val="7D5C3C7B"/>
    <w:rsid w:val="7D620530"/>
    <w:rsid w:val="7D745210"/>
    <w:rsid w:val="7EAE0026"/>
    <w:rsid w:val="7F5E62AB"/>
    <w:rsid w:val="7FFC7D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1"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semiHidden/>
    <w:unhideWhenUsed/>
    <w:qFormat/>
    <w:uiPriority w:val="0"/>
    <w:pPr>
      <w:spacing w:beforeAutospacing="1" w:afterAutospacing="1"/>
      <w:jc w:val="left"/>
      <w:outlineLvl w:val="2"/>
    </w:pPr>
    <w:rPr>
      <w:rFonts w:hint="eastAsia" w:ascii="宋体" w:hAnsi="宋体"/>
      <w:b/>
      <w:bCs/>
      <w:kern w:val="0"/>
      <w:sz w:val="27"/>
      <w:szCs w:val="27"/>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toc 1"/>
    <w:basedOn w:val="1"/>
    <w:next w:val="1"/>
    <w:qFormat/>
    <w:uiPriority w:val="0"/>
  </w:style>
  <w:style w:type="paragraph" w:styleId="8">
    <w:name w:val="toc 2"/>
    <w:basedOn w:val="1"/>
    <w:next w:val="1"/>
    <w:qFormat/>
    <w:uiPriority w:val="0"/>
    <w:pPr>
      <w:ind w:left="420" w:leftChars="200"/>
    </w:pPr>
  </w:style>
  <w:style w:type="paragraph" w:styleId="9">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11">
    <w:name w:val="Table Grid"/>
    <w:basedOn w:val="10"/>
    <w:qFormat/>
    <w:uiPriority w:val="1"/>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Hyperlink"/>
    <w:basedOn w:val="12"/>
    <w:qFormat/>
    <w:uiPriority w:val="0"/>
    <w:rPr>
      <w:color w:val="0000FF"/>
      <w:u w:val="single"/>
    </w:rPr>
  </w:style>
  <w:style w:type="paragraph" w:customStyle="1" w:styleId="15">
    <w:name w:val="WPSOffice手动目录 1"/>
    <w:qFormat/>
    <w:uiPriority w:val="0"/>
    <w:rPr>
      <w:rFonts w:ascii="Times New Roman" w:hAnsi="Times New Roman" w:eastAsia="宋体" w:cs="Times New Roman"/>
      <w:lang w:val="en-US" w:eastAsia="zh-CN" w:bidi="ar-SA"/>
    </w:rPr>
  </w:style>
  <w:style w:type="paragraph" w:customStyle="1" w:styleId="16">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7">
    <w:name w:val="Normal Indent1"/>
    <w:basedOn w:val="1"/>
    <w:qFormat/>
    <w:uiPriority w:val="99"/>
    <w:pPr>
      <w:ind w:firstLine="420" w:firstLineChars="200"/>
    </w:pPr>
    <w:rPr>
      <w:rFonts w:asciiTheme="minorHAnsi" w:hAnsiTheme="minorHAnsi" w:eastAsiaTheme="minorEastAsia" w:cstheme="minorBidi"/>
      <w:sz w:val="28"/>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w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69</Pages>
  <Words>34079</Words>
  <Characters>40844</Characters>
  <Lines>353</Lines>
  <Paragraphs>99</Paragraphs>
  <TotalTime>14</TotalTime>
  <ScaleCrop>false</ScaleCrop>
  <LinksUpToDate>false</LinksUpToDate>
  <CharactersWithSpaces>41847</CharactersWithSpaces>
  <Application>WPS Office_11.8.2.9017_F1E327BC-269C-435d-A152-05C5408002CA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2022-10-10T02:19:00Z</dcterms:created>
  <dc:creator>songzg</dc:creator>
  <cp:lastModifiedBy>姜晓玲</cp:lastModifiedBy>
  <cp:lastPrinted>2022-10-10T02:29:00Z</cp:lastPrinted>
  <dcterms:modified xsi:type="dcterms:W3CDTF">2022-10-18T02:06:19Z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2052-11.8.2.9017</vt:lpwstr>
  </property>
  <property fmtid="{D5CDD505-2E9C-101B-9397-08002B2CF9AE}" pid="3" name="ICV">
    <vt:lpwstr>DBC215D7115F47F5BB47F50E40D99F29</vt:lpwstr>
  </property>
</Properties>
</file>