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page" w:horzAnchor="page" w:tblpX="1792" w:tblpY="1764"/>
        <w:tblOverlap w:val="never"/>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26"/>
        <w:gridCol w:w="1415"/>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841" w:type="dxa"/>
            <w:gridSpan w:val="2"/>
            <w:tcBorders>
              <w:tl2br w:val="nil"/>
              <w:tr2bl w:val="nil"/>
            </w:tcBorders>
          </w:tcPr>
          <w:p>
            <w:pPr>
              <w:rPr>
                <w:szCs w:val="24"/>
              </w:rPr>
            </w:pPr>
            <w:bookmarkStart w:id="149" w:name="_GoBack"/>
            <w:bookmarkEnd w:id="149"/>
            <w:r>
              <w:rPr>
                <w:rFonts w:ascii="Times New Roman" w:hAnsi="Times New Roman" w:eastAsia="宋体" w:cs="Times New Roman"/>
                <w:sz w:val="24"/>
                <w:szCs w:val="32"/>
              </w:rPr>
              <w:t>UDC</w:t>
            </w:r>
          </w:p>
        </w:tc>
        <w:tc>
          <w:tcPr>
            <w:tcW w:w="1687" w:type="dxa"/>
            <w:vMerge w:val="restart"/>
            <w:tcBorders>
              <w:tl2br w:val="nil"/>
              <w:tr2bl w:val="nil"/>
            </w:tcBorders>
          </w:tcPr>
          <w:p>
            <w:pPr>
              <w:spacing w:line="720" w:lineRule="auto"/>
              <w:ind w:left="525" w:leftChars="250"/>
              <w:rPr>
                <w:szCs w:val="24"/>
              </w:rPr>
            </w:pPr>
            <w:r>
              <w:rPr>
                <w:rFonts w:ascii="Times New Roman" w:hAnsi="Times New Roman" w:cs="Times New Roman"/>
                <w:b/>
                <w:sz w:val="44"/>
                <w:szCs w:val="44"/>
              </w:rPr>
              <w:t>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841" w:type="dxa"/>
            <w:gridSpan w:val="2"/>
            <w:tcBorders>
              <w:tl2br w:val="nil"/>
              <w:tr2bl w:val="nil"/>
            </w:tcBorders>
          </w:tcPr>
          <w:p>
            <w:pPr>
              <w:ind w:left="525" w:leftChars="250"/>
              <w:jc w:val="center"/>
              <w:rPr>
                <w:b/>
                <w:sz w:val="72"/>
                <w:szCs w:val="72"/>
              </w:rPr>
            </w:pPr>
            <w:r>
              <w:rPr>
                <w:b/>
                <w:sz w:val="72"/>
                <w:szCs w:val="72"/>
              </w:rPr>
              <w:t>云南省地方标准</w:t>
            </w:r>
          </w:p>
        </w:tc>
        <w:tc>
          <w:tcPr>
            <w:tcW w:w="1687" w:type="dxa"/>
            <w:vMerge w:val="continue"/>
            <w:tcBorders>
              <w:tl2br w:val="nil"/>
              <w:tr2bl w:val="nil"/>
            </w:tcBorders>
          </w:tcPr>
          <w:p>
            <w:pPr>
              <w:ind w:left="525" w:leftChars="250"/>
              <w:jc w:val="center"/>
              <w:rPr>
                <w:b/>
                <w:sz w:val="72"/>
                <w:szCs w:val="7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26" w:type="dxa"/>
            <w:tcBorders>
              <w:tl2br w:val="nil"/>
              <w:tr2bl w:val="nil"/>
            </w:tcBorders>
          </w:tcPr>
          <w:p>
            <w:pPr>
              <w:wordWrap w:val="0"/>
              <w:ind w:left="525" w:leftChars="250"/>
              <w:jc w:val="right"/>
              <w:rPr>
                <w:sz w:val="28"/>
                <w:szCs w:val="28"/>
              </w:rPr>
            </w:pPr>
          </w:p>
        </w:tc>
        <w:tc>
          <w:tcPr>
            <w:tcW w:w="3102" w:type="dxa"/>
            <w:gridSpan w:val="2"/>
            <w:tcBorders>
              <w:tl2br w:val="nil"/>
              <w:tr2bl w:val="nil"/>
            </w:tcBorders>
          </w:tcPr>
          <w:p>
            <w:pPr>
              <w:wordWrap w:val="0"/>
              <w:rPr>
                <w:sz w:val="28"/>
                <w:szCs w:val="28"/>
              </w:rPr>
            </w:pPr>
            <w:r>
              <w:rPr>
                <w:rFonts w:ascii="Times New Roman" w:hAnsi="Times New Roman" w:cs="Times New Roman"/>
                <w:sz w:val="28"/>
                <w:szCs w:val="28"/>
              </w:rPr>
              <w:t>DB53/T XXX</w:t>
            </w:r>
            <w:r>
              <w:rPr>
                <w:rFonts w:ascii="Times New Roman" w:hAnsi="Times New Roman" w:eastAsia="宋体" w:cs="Times New Roman"/>
                <w:sz w:val="28"/>
                <w:szCs w:val="28"/>
              </w:rPr>
              <w:t>—</w:t>
            </w:r>
            <w:r>
              <w:rPr>
                <w:rFonts w:hint="eastAsia" w:ascii="Times New Roman" w:hAnsi="Times New Roman" w:cs="Times New Roman"/>
                <w:sz w:val="28"/>
                <w:szCs w:val="28"/>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trPr>
        <w:tc>
          <w:tcPr>
            <w:tcW w:w="5426" w:type="dxa"/>
            <w:tcBorders>
              <w:tl2br w:val="nil"/>
              <w:tr2bl w:val="nil"/>
            </w:tcBorders>
          </w:tcPr>
          <w:p>
            <w:pPr>
              <w:rPr>
                <w:szCs w:val="24"/>
              </w:rPr>
            </w:pPr>
            <w:r>
              <w:rPr>
                <w:rFonts w:ascii="Times New Roman" w:hAnsi="Times New Roman" w:eastAsia="宋体" w:cs="Times New Roman"/>
                <w:sz w:val="24"/>
                <w:szCs w:val="32"/>
              </w:rPr>
              <w:t>P</w:t>
            </w:r>
          </w:p>
        </w:tc>
        <w:tc>
          <w:tcPr>
            <w:tcW w:w="3102" w:type="dxa"/>
            <w:gridSpan w:val="2"/>
            <w:tcBorders>
              <w:tl2br w:val="nil"/>
              <w:tr2bl w:val="nil"/>
            </w:tcBorders>
          </w:tcPr>
          <w:p>
            <w:pPr>
              <w:rPr>
                <w:szCs w:val="24"/>
              </w:rPr>
            </w:pPr>
            <w:r>
              <w:rPr>
                <w:rFonts w:ascii="Times New Roman" w:hAnsi="Times New Roman" w:cs="Times New Roman"/>
                <w:sz w:val="24"/>
                <w:szCs w:val="24"/>
              </w:rPr>
              <w:t>备</w:t>
            </w:r>
            <w:r>
              <w:rPr>
                <w:rFonts w:ascii="Times New Roman" w:hAnsi="Times New Roman" w:eastAsia="宋体" w:cs="Times New Roman"/>
                <w:sz w:val="24"/>
                <w:szCs w:val="24"/>
              </w:rPr>
              <w:t>案号</w:t>
            </w:r>
          </w:p>
        </w:tc>
      </w:tr>
    </w:tbl>
    <w:p>
      <w:pPr>
        <w:jc w:val="center"/>
        <w:rPr>
          <w:sz w:val="44"/>
          <w:szCs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-1160145</wp:posOffset>
                </wp:positionH>
                <wp:positionV relativeFrom="paragraph">
                  <wp:posOffset>1586230</wp:posOffset>
                </wp:positionV>
                <wp:extent cx="7592695" cy="20320"/>
                <wp:effectExtent l="0" t="4445" r="8255" b="13335"/>
                <wp:wrapNone/>
                <wp:docPr id="1" name="直线 2"/>
                <wp:cNvGraphicFramePr/>
                <a:graphic xmlns:a="http://schemas.openxmlformats.org/drawingml/2006/main">
                  <a:graphicData uri="http://schemas.microsoft.com/office/word/2010/wordprocessingShape">
                    <wps:wsp>
                      <wps:cNvCnPr/>
                      <wps:spPr>
                        <a:xfrm flipV="1">
                          <a:off x="41910" y="2500630"/>
                          <a:ext cx="7592695" cy="203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91.35pt;margin-top:124.9pt;height:1.6pt;width:597.85pt;z-index:251660288;mso-width-relative:page;mso-height-relative:page;" filled="f" stroked="t" coordsize="21600,21600" o:gfxdata="UEsDBAoAAAAAAIdO4kAAAAAAAAAAAAAAAAAEAAAAZHJzL1BLAwQUAAAACACHTuJAHguGn9oAAAAN&#10;AQAADwAAAGRycy9kb3ducmV2LnhtbE2PzU7DMBCE70i8g7VI3Fo7KT9tiFMhBFyQkCiBsxMvSYS9&#10;jmI3LW/P9gS33Z3R7Dfl9uidmHGKQyAN2VKBQGqDHajTUL8/LdYgYjJkjQuEGn4wwrY6PytNYcOB&#10;3nDepU5wCMXCaOhTGgspY9ujN3EZRiTWvsLkTeJ16qSdzIHDvZO5UjfSm4H4Q29GfOix/d7tvYb7&#10;z5fH1evc+ODspqs/rK/Vc6715UWm7kAkPKY/M5zwGR0qZmrCnmwUTsMiW+e37NWQX224xMmishX3&#10;a/h0zYOsSvm/RfULUEsDBBQAAAAIAIdO4kANX4QQ5wEAALMDAAAOAAAAZHJzL2Uyb0RvYy54bWyt&#10;U0uOEzEQ3SNxB8t70kkPGUgrnVlMGDYIRhpgX/Gn25J/sj3p5CxcgxUbjjPXoMoJowE2CNELq+yq&#10;eq73/Hp9dXCW7VXKJvieL2ZzzpQXQRo/9PzTx5sXrznLBbwEG7zq+VFlfrV5/mw9xU61YQxWqsQQ&#10;xOduij0fS4ld02QxKgd5FqLymNQhOSi4TUMjE0yI7mzTzueXzRSSjCkIlTOebk9Jvqn4WitRPmid&#10;VWG25zhbqWuq647WZrOGbkgQRyPOY8A/TOHAeLz0EWoLBdh9Mn9AOSNSyEGXmQiuCVoboSoHZLOY&#10;/8bmboSoKhcUJ8dHmfL/gxXv97eJGYlvx5kHh0/08OXrw7fvrCVtppg7LLn2t+m8y/E2EdGDTo5p&#10;a+JnaqUTJMMOPX+5WC1Q6WPP2yU+0MVZY3UoTGD61XLVXq6WnAmqmF+0Nd+cAAkmplzequAYBT23&#10;xpME0MH+XS44BJb+LKFj69nU89WyJUhAB2kLBUMXkVP2Q+3NwRp5Y6yljpyG3bVNbA/kifoRVcT9&#10;pYwu2UIeT3U1dXLLqEC+8ZKVY0S1PNqa0whOSc6swr+AIgSEroCxf1OJV1tPDao69syTtD+pTdEu&#10;yCO+1H1MZhhRl0WdmTLojDr92cVkvad7jJ/+a5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guG&#10;n9oAAAANAQAADwAAAAAAAAABACAAAAAiAAAAZHJzL2Rvd25yZXYueG1sUEsBAhQAFAAAAAgAh07i&#10;QA1fhBDnAQAAswMAAA4AAAAAAAAAAQAgAAAAKQEAAGRycy9lMm9Eb2MueG1sUEsFBgAAAAAGAAYA&#10;WQEAAIIFAAAAAA==&#10;">
                <v:fill on="f" focussize="0,0"/>
                <v:stroke color="#000000" joinstyle="round"/>
                <v:imagedata o:title=""/>
                <o:lock v:ext="edit" aspectratio="f"/>
              </v:line>
            </w:pict>
          </mc:Fallback>
        </mc:AlternateContent>
      </w:r>
    </w:p>
    <w:p>
      <w:pPr>
        <w:jc w:val="center"/>
        <w:rPr>
          <w:rFonts w:ascii="黑体" w:hAnsi="黑体" w:eastAsia="黑体"/>
          <w:b/>
          <w:sz w:val="36"/>
          <w:szCs w:val="36"/>
        </w:rPr>
      </w:pPr>
      <w:r>
        <w:rPr>
          <w:rFonts w:hint="eastAsia" w:ascii="黑体" w:hAnsi="黑体" w:eastAsia="黑体"/>
          <w:b/>
          <w:sz w:val="36"/>
          <w:szCs w:val="36"/>
        </w:rPr>
        <w:t>燃气运营企业安全管理标准</w:t>
      </w:r>
    </w:p>
    <w:p>
      <w:pPr>
        <w:jc w:val="center"/>
        <w:rPr>
          <w:rFonts w:ascii="黑体" w:hAnsi="黑体" w:eastAsia="黑体"/>
          <w:b/>
          <w:sz w:val="36"/>
          <w:szCs w:val="36"/>
        </w:rPr>
      </w:pPr>
      <w:r>
        <w:rPr>
          <w:rFonts w:ascii="黑体" w:hAnsi="黑体" w:eastAsia="黑体"/>
          <w:b/>
          <w:sz w:val="36"/>
          <w:szCs w:val="36"/>
        </w:rPr>
        <w:t>第3部</w:t>
      </w:r>
      <w:r>
        <w:rPr>
          <w:rFonts w:hint="eastAsia" w:ascii="黑体" w:hAnsi="黑体" w:eastAsia="黑体"/>
          <w:b/>
          <w:sz w:val="36"/>
          <w:szCs w:val="36"/>
        </w:rPr>
        <w:t>分：汽车加气运营企业</w:t>
      </w:r>
    </w:p>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Safety Management Standard for Gas Operating Enterprises</w:t>
      </w:r>
    </w:p>
    <w:p>
      <w:pPr>
        <w:spacing w:line="400" w:lineRule="exact"/>
        <w:jc w:val="center"/>
        <w:rPr>
          <w:rFonts w:ascii="Times New Roman" w:hAnsi="Times New Roman" w:cs="Times New Roman"/>
          <w:b/>
          <w:sz w:val="24"/>
          <w:szCs w:val="24"/>
        </w:rPr>
      </w:pPr>
      <w:r>
        <w:rPr>
          <w:rFonts w:hint="eastAsia" w:ascii="Times New Roman" w:hAnsi="Times New Roman" w:cs="Times New Roman"/>
          <w:b/>
          <w:sz w:val="24"/>
          <w:szCs w:val="24"/>
        </w:rPr>
        <w:t>Part 3: Automobile refueling enterprises</w:t>
      </w:r>
    </w:p>
    <w:p>
      <w:pPr>
        <w:jc w:val="center"/>
        <w:rPr>
          <w:rFonts w:hint="eastAsia"/>
          <w:sz w:val="24"/>
          <w:szCs w:val="24"/>
        </w:rPr>
      </w:pPr>
      <w:r>
        <w:rPr>
          <w:rFonts w:hint="eastAsia"/>
          <w:sz w:val="24"/>
          <w:szCs w:val="24"/>
        </w:rPr>
        <w:t>（征求意见稿）</w:t>
      </w:r>
    </w:p>
    <w:p>
      <w:pPr>
        <w:jc w:val="center"/>
        <w:rPr>
          <w:sz w:val="44"/>
          <w:szCs w:val="44"/>
        </w:rPr>
      </w:pPr>
    </w:p>
    <w:p>
      <w:pPr>
        <w:jc w:val="center"/>
        <w:rPr>
          <w:sz w:val="44"/>
          <w:szCs w:val="44"/>
        </w:rPr>
      </w:pPr>
    </w:p>
    <w:p>
      <w:pPr>
        <w:jc w:val="center"/>
        <w:rPr>
          <w:sz w:val="44"/>
          <w:szCs w:val="44"/>
        </w:rPr>
      </w:pPr>
    </w:p>
    <w:p>
      <w:pPr>
        <w:rPr>
          <w:sz w:val="44"/>
          <w:szCs w:val="44"/>
        </w:rPr>
      </w:pPr>
    </w:p>
    <w:p>
      <w:pPr>
        <w:jc w:val="center"/>
        <w:rPr>
          <w:sz w:val="44"/>
          <w:szCs w:val="44"/>
        </w:rPr>
      </w:pPr>
    </w:p>
    <w:tbl>
      <w:tblPr>
        <w:tblStyle w:val="12"/>
        <w:tblW w:w="8528"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35"/>
        <w:gridCol w:w="4193"/>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35" w:type="dxa"/>
          </w:tcPr>
          <w:p>
            <w:pPr>
              <w:rPr>
                <w:sz w:val="44"/>
                <w:szCs w:val="44"/>
              </w:rPr>
            </w:pPr>
          </w:p>
        </w:tc>
        <w:tc>
          <w:tcPr>
            <w:tcW w:w="4193" w:type="dxa"/>
          </w:tcPr>
          <w:p>
            <w:pPr>
              <w:rPr>
                <w:sz w:val="44"/>
                <w:szCs w:val="4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35" w:type="dxa"/>
            <w:tcBorders>
              <w:bottom w:val="single" w:color="auto" w:sz="12" w:space="0"/>
            </w:tcBorders>
          </w:tcPr>
          <w:p>
            <w:pPr>
              <w:rPr>
                <w:rFonts w:ascii="Times New Roman" w:hAnsi="Times New Roman" w:cs="Times New Roman"/>
                <w:sz w:val="28"/>
                <w:szCs w:val="28"/>
              </w:rPr>
            </w:pPr>
            <w:r>
              <w:rPr>
                <w:rFonts w:ascii="Times New Roman" w:hAnsi="Times New Roman" w:cs="Times New Roman"/>
                <w:sz w:val="28"/>
                <w:szCs w:val="28"/>
              </w:rPr>
              <w:t>XXX</w:t>
            </w:r>
            <w:r>
              <w:rPr>
                <w:rFonts w:ascii="Times New Roman" w:hAnsi="Times New Roman" w:eastAsia="宋体" w:cs="Times New Roman"/>
                <w:sz w:val="28"/>
                <w:szCs w:val="28"/>
              </w:rPr>
              <w:t>—</w:t>
            </w:r>
            <w:r>
              <w:rPr>
                <w:rFonts w:ascii="Times New Roman" w:hAnsi="Times New Roman" w:cs="Times New Roman"/>
                <w:sz w:val="28"/>
                <w:szCs w:val="28"/>
              </w:rPr>
              <w:t xml:space="preserve">XX—XX </w:t>
            </w:r>
            <w:r>
              <w:rPr>
                <w:rFonts w:ascii="Times New Roman" w:cs="Times New Roman"/>
                <w:b/>
                <w:sz w:val="28"/>
                <w:szCs w:val="28"/>
              </w:rPr>
              <w:t>发布</w:t>
            </w:r>
          </w:p>
        </w:tc>
        <w:tc>
          <w:tcPr>
            <w:tcW w:w="4193" w:type="dxa"/>
            <w:tcBorders>
              <w:bottom w:val="single" w:color="auto" w:sz="12" w:space="0"/>
            </w:tcBorders>
          </w:tcPr>
          <w:p>
            <w:pPr>
              <w:jc w:val="right"/>
              <w:rPr>
                <w:rFonts w:ascii="Times New Roman" w:hAnsi="Times New Roman" w:cs="Times New Roman"/>
                <w:sz w:val="28"/>
                <w:szCs w:val="28"/>
              </w:rPr>
            </w:pPr>
            <w:r>
              <w:rPr>
                <w:rFonts w:ascii="Times New Roman" w:hAnsi="Times New Roman" w:cs="Times New Roman"/>
                <w:sz w:val="28"/>
                <w:szCs w:val="28"/>
              </w:rPr>
              <w:t>XXX</w:t>
            </w:r>
            <w:r>
              <w:rPr>
                <w:rFonts w:ascii="Times New Roman" w:hAnsi="Times New Roman" w:eastAsia="宋体" w:cs="Times New Roman"/>
                <w:sz w:val="28"/>
                <w:szCs w:val="28"/>
              </w:rPr>
              <w:t>—</w:t>
            </w:r>
            <w:r>
              <w:rPr>
                <w:rFonts w:ascii="Times New Roman" w:hAnsi="Times New Roman" w:cs="Times New Roman"/>
                <w:sz w:val="28"/>
                <w:szCs w:val="28"/>
              </w:rPr>
              <w:t xml:space="preserve">XX—XX </w:t>
            </w:r>
            <w:r>
              <w:rPr>
                <w:rFonts w:ascii="Times New Roman" w:cs="Times New Roman"/>
                <w:b/>
                <w:sz w:val="28"/>
                <w:szCs w:val="28"/>
              </w:rPr>
              <w:t>实施</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 w:hRule="atLeast"/>
        </w:trPr>
        <w:tc>
          <w:tcPr>
            <w:tcW w:w="4335" w:type="dxa"/>
            <w:tcBorders>
              <w:top w:val="single" w:color="auto" w:sz="12" w:space="0"/>
              <w:bottom w:val="nil"/>
            </w:tcBorders>
          </w:tcPr>
          <w:p>
            <w:pPr>
              <w:rPr>
                <w:sz w:val="28"/>
                <w:szCs w:val="28"/>
              </w:rPr>
            </w:pPr>
          </w:p>
        </w:tc>
        <w:tc>
          <w:tcPr>
            <w:tcW w:w="4193" w:type="dxa"/>
            <w:tcBorders>
              <w:top w:val="single" w:color="auto" w:sz="12" w:space="0"/>
              <w:bottom w:val="nil"/>
            </w:tcBorders>
          </w:tcPr>
          <w:p>
            <w:pPr>
              <w:jc w:val="right"/>
              <w:rPr>
                <w:sz w:val="28"/>
                <w:szCs w:val="28"/>
              </w:rPr>
            </w:pPr>
          </w:p>
        </w:tc>
      </w:tr>
    </w:tbl>
    <w:p>
      <w:pPr>
        <w:widowControl/>
        <w:jc w:val="center"/>
        <w:rPr>
          <w:b/>
          <w:sz w:val="28"/>
          <w:szCs w:val="30"/>
        </w:rPr>
      </w:pPr>
      <w:r>
        <w:rPr>
          <w:rFonts w:hint="eastAsia" w:ascii="Times New Roman" w:hAnsi="Times New Roman" w:cs="Times New Roman"/>
          <w:b/>
          <w:sz w:val="30"/>
          <w:szCs w:val="30"/>
        </w:rPr>
        <w:t>云南省住房和城乡建设厅   发布</w:t>
      </w:r>
    </w:p>
    <w:p>
      <w:pPr>
        <w:widowControl/>
        <w:jc w:val="center"/>
        <w:rPr>
          <w:b/>
          <w:sz w:val="28"/>
          <w:szCs w:val="30"/>
        </w:rPr>
      </w:pPr>
    </w:p>
    <w:p>
      <w:pPr>
        <w:widowControl/>
        <w:jc w:val="center"/>
        <w:rPr>
          <w:b/>
          <w:sz w:val="28"/>
          <w:szCs w:val="30"/>
        </w:rPr>
      </w:pPr>
    </w:p>
    <w:p>
      <w:pPr>
        <w:widowControl/>
        <w:jc w:val="center"/>
        <w:rPr>
          <w:b/>
          <w:sz w:val="28"/>
          <w:szCs w:val="30"/>
        </w:rPr>
      </w:pPr>
    </w:p>
    <w:p>
      <w:pPr>
        <w:widowControl/>
        <w:jc w:val="center"/>
        <w:rPr>
          <w:b/>
          <w:sz w:val="28"/>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1"/>
          <w:cols w:space="425" w:num="1"/>
          <w:titlePg/>
          <w:docGrid w:type="lines" w:linePitch="312" w:charSpace="0"/>
        </w:sectPr>
      </w:pPr>
    </w:p>
    <w:p>
      <w:pPr>
        <w:widowControl/>
        <w:jc w:val="center"/>
        <w:rPr>
          <w:b/>
          <w:sz w:val="28"/>
          <w:szCs w:val="30"/>
        </w:rPr>
      </w:pPr>
    </w:p>
    <w:p>
      <w:pPr>
        <w:widowControl/>
        <w:jc w:val="center"/>
        <w:rPr>
          <w:b/>
          <w:sz w:val="28"/>
          <w:szCs w:val="30"/>
        </w:rPr>
      </w:pPr>
    </w:p>
    <w:p>
      <w:pPr>
        <w:widowControl/>
        <w:jc w:val="center"/>
        <w:rPr>
          <w:b/>
          <w:sz w:val="44"/>
          <w:szCs w:val="44"/>
        </w:rPr>
      </w:pPr>
      <w:r>
        <w:rPr>
          <w:rFonts w:hint="eastAsia"/>
          <w:b/>
          <w:sz w:val="44"/>
          <w:szCs w:val="44"/>
        </w:rPr>
        <w:t>云南省地方标准</w:t>
      </w:r>
    </w:p>
    <w:p>
      <w:pPr>
        <w:widowControl/>
        <w:jc w:val="center"/>
        <w:rPr>
          <w:b/>
          <w:sz w:val="28"/>
          <w:szCs w:val="30"/>
        </w:rPr>
      </w:pPr>
    </w:p>
    <w:p>
      <w:pPr>
        <w:spacing w:line="440" w:lineRule="exact"/>
        <w:jc w:val="center"/>
        <w:rPr>
          <w:rFonts w:ascii="黑体" w:hAnsi="黑体" w:eastAsia="黑体" w:cs="Times New Roman"/>
          <w:b/>
          <w:sz w:val="28"/>
          <w:szCs w:val="28"/>
        </w:rPr>
      </w:pPr>
      <w:r>
        <w:rPr>
          <w:rFonts w:ascii="黑体" w:hAnsi="黑体" w:eastAsia="黑体" w:cs="Times New Roman"/>
          <w:b/>
          <w:sz w:val="28"/>
          <w:szCs w:val="28"/>
        </w:rPr>
        <w:t>燃气运营企业安全管理标准</w:t>
      </w:r>
    </w:p>
    <w:p>
      <w:pPr>
        <w:spacing w:line="440" w:lineRule="exact"/>
        <w:jc w:val="center"/>
        <w:rPr>
          <w:rFonts w:ascii="黑体" w:hAnsi="黑体" w:eastAsia="黑体" w:cs="Times New Roman"/>
          <w:b/>
          <w:sz w:val="28"/>
          <w:szCs w:val="28"/>
        </w:rPr>
      </w:pPr>
      <w:r>
        <w:rPr>
          <w:rFonts w:ascii="黑体" w:hAnsi="黑体" w:eastAsia="黑体" w:cs="Times New Roman"/>
          <w:b/>
          <w:sz w:val="28"/>
          <w:szCs w:val="28"/>
        </w:rPr>
        <w:t>第</w:t>
      </w:r>
      <w:r>
        <w:rPr>
          <w:rFonts w:hint="eastAsia" w:ascii="黑体" w:hAnsi="黑体" w:eastAsia="黑体" w:cs="Times New Roman"/>
          <w:b/>
          <w:sz w:val="28"/>
          <w:szCs w:val="28"/>
        </w:rPr>
        <w:t>3</w:t>
      </w:r>
      <w:r>
        <w:rPr>
          <w:rFonts w:ascii="黑体" w:hAnsi="黑体" w:eastAsia="黑体" w:cs="Times New Roman"/>
          <w:b/>
          <w:sz w:val="28"/>
          <w:szCs w:val="28"/>
        </w:rPr>
        <w:t>部</w:t>
      </w:r>
      <w:r>
        <w:rPr>
          <w:rFonts w:hint="eastAsia" w:ascii="黑体" w:hAnsi="黑体" w:eastAsia="黑体" w:cs="Times New Roman"/>
          <w:b/>
          <w:sz w:val="28"/>
          <w:szCs w:val="28"/>
        </w:rPr>
        <w:t>分：汽车加气运营企业</w:t>
      </w:r>
    </w:p>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Safety Management Standard for Gas Operating Enterprises</w:t>
      </w:r>
    </w:p>
    <w:p>
      <w:pPr>
        <w:spacing w:line="400" w:lineRule="exact"/>
        <w:jc w:val="center"/>
        <w:rPr>
          <w:rFonts w:ascii="Times New Roman" w:hAnsi="Times New Roman" w:cs="Times New Roman"/>
          <w:b/>
          <w:sz w:val="24"/>
          <w:szCs w:val="24"/>
        </w:rPr>
      </w:pPr>
      <w:r>
        <w:rPr>
          <w:rFonts w:hint="eastAsia" w:ascii="Times New Roman" w:hAnsi="Times New Roman" w:cs="Times New Roman"/>
          <w:b/>
          <w:sz w:val="24"/>
          <w:szCs w:val="24"/>
        </w:rPr>
        <w:t>Part 3: Automobile refueling enterprises</w:t>
      </w:r>
    </w:p>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DB53/T XXX-</w:t>
      </w:r>
      <w:r>
        <w:rPr>
          <w:rFonts w:hint="eastAsia" w:ascii="Times New Roman" w:hAnsi="Times New Roman" w:cs="Times New Roman"/>
          <w:b/>
          <w:sz w:val="24"/>
          <w:szCs w:val="24"/>
        </w:rPr>
        <w:t>XXX</w:t>
      </w:r>
    </w:p>
    <w:p>
      <w:pPr>
        <w:widowControl/>
        <w:spacing w:line="400" w:lineRule="exact"/>
        <w:rPr>
          <w:bCs/>
          <w:sz w:val="24"/>
          <w:szCs w:val="24"/>
        </w:rPr>
      </w:pPr>
    </w:p>
    <w:p>
      <w:pPr>
        <w:widowControl/>
        <w:spacing w:line="440" w:lineRule="exact"/>
        <w:rPr>
          <w:rFonts w:asciiTheme="minorEastAsia" w:hAnsiTheme="minorEastAsia"/>
          <w:bCs/>
          <w:sz w:val="24"/>
          <w:szCs w:val="24"/>
        </w:rPr>
      </w:pPr>
      <w:r>
        <w:rPr>
          <w:rFonts w:hint="eastAsia" w:asciiTheme="minorEastAsia" w:hAnsiTheme="minorEastAsia"/>
          <w:bCs/>
          <w:sz w:val="24"/>
          <w:szCs w:val="24"/>
        </w:rPr>
        <w:t>批准部门：云南省住房和城乡建设厅</w:t>
      </w:r>
    </w:p>
    <w:p>
      <w:pPr>
        <w:widowControl/>
        <w:spacing w:line="440" w:lineRule="exact"/>
        <w:rPr>
          <w:rFonts w:asciiTheme="minorEastAsia" w:hAnsiTheme="minorEastAsia"/>
          <w:bCs/>
          <w:sz w:val="24"/>
          <w:szCs w:val="24"/>
        </w:rPr>
      </w:pPr>
      <w:r>
        <w:rPr>
          <w:rFonts w:hint="eastAsia" w:asciiTheme="minorEastAsia" w:hAnsiTheme="minorEastAsia"/>
          <w:bCs/>
          <w:sz w:val="24"/>
          <w:szCs w:val="24"/>
        </w:rPr>
        <w:t>施行日期：</w:t>
      </w:r>
      <w:r>
        <w:rPr>
          <w:rFonts w:ascii="Times New Roman" w:hAnsi="Times New Roman" w:cs="Times New Roman"/>
          <w:bCs/>
          <w:sz w:val="24"/>
          <w:szCs w:val="24"/>
        </w:rPr>
        <w:t>XX</w:t>
      </w:r>
      <w:r>
        <w:rPr>
          <w:rFonts w:asciiTheme="minorEastAsia" w:hAnsiTheme="minorEastAsia"/>
          <w:bCs/>
          <w:sz w:val="24"/>
          <w:szCs w:val="24"/>
        </w:rPr>
        <w:t>年</w:t>
      </w:r>
      <w:r>
        <w:rPr>
          <w:rFonts w:ascii="Times New Roman" w:hAnsi="Times New Roman" w:cs="Times New Roman"/>
          <w:bCs/>
          <w:sz w:val="24"/>
          <w:szCs w:val="24"/>
        </w:rPr>
        <w:t>XX</w:t>
      </w:r>
      <w:r>
        <w:rPr>
          <w:rFonts w:asciiTheme="minorEastAsia" w:hAnsiTheme="minorEastAsia"/>
          <w:bCs/>
          <w:sz w:val="24"/>
          <w:szCs w:val="24"/>
        </w:rPr>
        <w:t>月</w:t>
      </w:r>
      <w:r>
        <w:rPr>
          <w:rFonts w:ascii="Times New Roman" w:hAnsi="Times New Roman" w:cs="Times New Roman"/>
          <w:bCs/>
          <w:sz w:val="24"/>
          <w:szCs w:val="24"/>
        </w:rPr>
        <w:t>XX</w:t>
      </w:r>
      <w:r>
        <w:rPr>
          <w:rFonts w:asciiTheme="minorEastAsia" w:hAnsiTheme="minorEastAsia"/>
          <w:bCs/>
          <w:sz w:val="24"/>
          <w:szCs w:val="24"/>
        </w:rPr>
        <w:t>日</w:t>
      </w:r>
    </w:p>
    <w:p>
      <w:pPr>
        <w:widowControl/>
        <w:spacing w:line="440" w:lineRule="exact"/>
        <w:rPr>
          <w:rFonts w:asciiTheme="minorEastAsia" w:hAnsiTheme="minorEastAsia"/>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36"/>
          <w:szCs w:val="36"/>
        </w:rPr>
      </w:pPr>
    </w:p>
    <w:p>
      <w:pPr>
        <w:widowControl/>
        <w:spacing w:line="400" w:lineRule="exact"/>
        <w:jc w:val="center"/>
        <w:rPr>
          <w:b/>
          <w:bCs/>
          <w:sz w:val="44"/>
          <w:szCs w:val="44"/>
        </w:rPr>
      </w:pPr>
    </w:p>
    <w:p>
      <w:pPr>
        <w:widowControl/>
        <w:spacing w:line="400" w:lineRule="exact"/>
        <w:jc w:val="center"/>
        <w:rPr>
          <w:b/>
          <w:bCs/>
          <w:sz w:val="44"/>
          <w:szCs w:val="44"/>
        </w:rPr>
      </w:pPr>
      <w:r>
        <w:rPr>
          <w:rFonts w:hint="eastAsia"/>
          <w:b/>
          <w:bCs/>
          <w:sz w:val="44"/>
          <w:szCs w:val="44"/>
        </w:rPr>
        <w:t>公 告</w:t>
      </w:r>
    </w:p>
    <w:p>
      <w:pPr>
        <w:widowControl/>
        <w:jc w:val="center"/>
        <w:rPr>
          <w:b/>
          <w:sz w:val="28"/>
          <w:szCs w:val="30"/>
        </w:rPr>
      </w:pPr>
    </w:p>
    <w:p>
      <w:pPr>
        <w:widowControl/>
        <w:jc w:val="center"/>
        <w:rPr>
          <w:b/>
          <w:sz w:val="28"/>
          <w:szCs w:val="30"/>
        </w:rPr>
        <w:sectPr>
          <w:footerReference r:id="rId10" w:type="first"/>
          <w:footerReference r:id="rId9" w:type="default"/>
          <w:pgSz w:w="11906" w:h="16838"/>
          <w:pgMar w:top="1440" w:right="1797" w:bottom="1440" w:left="1797" w:header="851" w:footer="992" w:gutter="0"/>
          <w:pgNumType w:fmt="upperRoman" w:start="1"/>
          <w:cols w:space="425" w:num="1"/>
          <w:titlePg/>
          <w:docGrid w:type="lines" w:linePitch="312" w:charSpace="0"/>
        </w:sectPr>
      </w:pPr>
    </w:p>
    <w:p>
      <w:pPr>
        <w:pStyle w:val="20"/>
        <w:rPr>
          <w:rFonts w:asciiTheme="minorEastAsia" w:hAnsiTheme="minorEastAsia" w:eastAsiaTheme="minorEastAsia"/>
          <w:b/>
          <w:sz w:val="44"/>
          <w:szCs w:val="44"/>
        </w:rPr>
      </w:pPr>
      <w:bookmarkStart w:id="0" w:name="_Toc1581"/>
      <w:bookmarkStart w:id="1" w:name="_Toc24723"/>
      <w:bookmarkStart w:id="2" w:name="_Toc5534"/>
      <w:r>
        <w:rPr>
          <w:rFonts w:hint="eastAsia" w:asciiTheme="minorEastAsia" w:hAnsiTheme="minorEastAsia" w:eastAsiaTheme="minorEastAsia"/>
          <w:b/>
          <w:sz w:val="44"/>
          <w:szCs w:val="44"/>
        </w:rPr>
        <w:t>前</w:t>
      </w:r>
      <w:bookmarkStart w:id="3" w:name="BKQY"/>
      <w:r>
        <w:rPr>
          <w:rFonts w:asciiTheme="minorEastAsia" w:hAnsiTheme="minorEastAsia" w:eastAsiaTheme="minorEastAsia"/>
          <w:b/>
          <w:sz w:val="44"/>
          <w:szCs w:val="44"/>
        </w:rPr>
        <w:t>  </w:t>
      </w:r>
      <w:r>
        <w:rPr>
          <w:rFonts w:hint="eastAsia" w:asciiTheme="minorEastAsia" w:hAnsiTheme="minorEastAsia" w:eastAsiaTheme="minorEastAsia"/>
          <w:b/>
          <w:sz w:val="44"/>
          <w:szCs w:val="44"/>
        </w:rPr>
        <w:t>言</w:t>
      </w:r>
      <w:bookmarkEnd w:id="0"/>
      <w:bookmarkEnd w:id="1"/>
      <w:bookmarkEnd w:id="2"/>
      <w:bookmarkEnd w:id="3"/>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《燃气运营企业安全管理标准》由以下</w:t>
      </w:r>
      <w:r>
        <w:rPr>
          <w:rFonts w:ascii="Times New Roman" w:eastAsiaTheme="minorEastAsia"/>
          <w:sz w:val="24"/>
          <w:szCs w:val="24"/>
        </w:rPr>
        <w:t>3</w:t>
      </w:r>
      <w:r>
        <w:rPr>
          <w:rFonts w:hint="eastAsia" w:asciiTheme="minorEastAsia" w:hAnsiTheme="minorEastAsia" w:eastAsiaTheme="minorEastAsia"/>
          <w:sz w:val="24"/>
          <w:szCs w:val="24"/>
        </w:rPr>
        <w:t>部分组成：</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w:t>
      </w:r>
      <w:r>
        <w:rPr>
          <w:rFonts w:ascii="Times New Roman" w:eastAsiaTheme="minorEastAsia"/>
          <w:sz w:val="24"/>
          <w:szCs w:val="24"/>
        </w:rPr>
        <w:t>1</w:t>
      </w:r>
      <w:r>
        <w:rPr>
          <w:rFonts w:hint="eastAsia" w:asciiTheme="minorEastAsia" w:hAnsiTheme="minorEastAsia" w:eastAsiaTheme="minorEastAsia"/>
          <w:sz w:val="24"/>
          <w:szCs w:val="24"/>
        </w:rPr>
        <w:t>部分：液化石油气运营企业</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w:t>
      </w:r>
      <w:r>
        <w:rPr>
          <w:rFonts w:ascii="Times New Roman" w:eastAsiaTheme="minorEastAsia"/>
          <w:sz w:val="24"/>
          <w:szCs w:val="24"/>
        </w:rPr>
        <w:t>2</w:t>
      </w:r>
      <w:r>
        <w:rPr>
          <w:rFonts w:hint="eastAsia" w:asciiTheme="minorEastAsia" w:hAnsiTheme="minorEastAsia" w:eastAsiaTheme="minorEastAsia"/>
          <w:sz w:val="24"/>
          <w:szCs w:val="24"/>
        </w:rPr>
        <w:t>部分：管道燃气运营企业</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第</w:t>
      </w:r>
      <w:r>
        <w:rPr>
          <w:rFonts w:ascii="Times New Roman" w:eastAsiaTheme="minorEastAsia"/>
          <w:sz w:val="24"/>
          <w:szCs w:val="24"/>
        </w:rPr>
        <w:t>3</w:t>
      </w:r>
      <w:r>
        <w:rPr>
          <w:rFonts w:hint="eastAsia" w:asciiTheme="minorEastAsia" w:hAnsiTheme="minorEastAsia" w:eastAsiaTheme="minorEastAsia"/>
          <w:sz w:val="24"/>
          <w:szCs w:val="24"/>
        </w:rPr>
        <w:t>部分：汽车加气运营企业</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本部分为《燃气运营企业安全管理标准第</w:t>
      </w:r>
      <w:r>
        <w:rPr>
          <w:rFonts w:ascii="Times New Roman" w:eastAsiaTheme="minorEastAsia"/>
          <w:sz w:val="24"/>
          <w:szCs w:val="24"/>
        </w:rPr>
        <w:t>3</w:t>
      </w:r>
      <w:r>
        <w:rPr>
          <w:rFonts w:hint="eastAsia" w:asciiTheme="minorEastAsia" w:hAnsiTheme="minorEastAsia" w:eastAsiaTheme="minorEastAsia"/>
          <w:sz w:val="24"/>
          <w:szCs w:val="24"/>
        </w:rPr>
        <w:t>部分：汽车加气运营企业》</w:t>
      </w:r>
    </w:p>
    <w:p>
      <w:pPr>
        <w:pStyle w:val="18"/>
        <w:ind w:firstLine="480"/>
        <w:rPr>
          <w:rFonts w:asciiTheme="minorEastAsia" w:hAnsiTheme="minorEastAsia" w:eastAsiaTheme="minorEastAsia"/>
          <w:bCs/>
          <w:sz w:val="24"/>
          <w:szCs w:val="24"/>
        </w:rPr>
      </w:pPr>
      <w:r>
        <w:rPr>
          <w:rFonts w:asciiTheme="minorEastAsia" w:hAnsiTheme="minorEastAsia" w:eastAsiaTheme="minorEastAsia"/>
          <w:sz w:val="24"/>
          <w:szCs w:val="24"/>
        </w:rPr>
        <w:t>本</w:t>
      </w:r>
      <w:r>
        <w:rPr>
          <w:rFonts w:hint="eastAsia" w:asciiTheme="minorEastAsia" w:hAnsiTheme="minorEastAsia" w:eastAsiaTheme="minorEastAsia"/>
          <w:sz w:val="24"/>
          <w:szCs w:val="24"/>
        </w:rPr>
        <w:t>标准根据</w:t>
      </w:r>
      <w:r>
        <w:rPr>
          <w:rFonts w:hint="eastAsia" w:asciiTheme="minorEastAsia" w:hAnsiTheme="minorEastAsia" w:eastAsiaTheme="minorEastAsia"/>
          <w:bCs/>
          <w:sz w:val="24"/>
          <w:szCs w:val="24"/>
        </w:rPr>
        <w:t>关于印发《工程建设标准编写规定》的通知（建标</w:t>
      </w:r>
      <w:r>
        <w:rPr>
          <w:rFonts w:ascii="Times New Roman" w:eastAsiaTheme="minorEastAsia"/>
          <w:bCs/>
          <w:sz w:val="24"/>
          <w:szCs w:val="24"/>
        </w:rPr>
        <w:t>[2008]182</w:t>
      </w:r>
      <w:r>
        <w:rPr>
          <w:rFonts w:hint="eastAsia" w:asciiTheme="minorEastAsia" w:hAnsiTheme="minorEastAsia" w:eastAsiaTheme="minorEastAsia"/>
          <w:bCs/>
          <w:sz w:val="24"/>
          <w:szCs w:val="24"/>
        </w:rPr>
        <w:t>号）的要求，规范编制组经广泛调查研究，认真总结实践经验，参考有关国家标准和规程，并在广泛征求意见的基础上，编制本标准。</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bCs/>
          <w:sz w:val="24"/>
          <w:szCs w:val="24"/>
        </w:rPr>
        <w:t>本标准主要内容是总则、术语、汽车加气运营企业</w:t>
      </w:r>
      <w:r>
        <w:rPr>
          <w:rFonts w:hint="eastAsia" w:asciiTheme="minorEastAsia" w:hAnsiTheme="minorEastAsia" w:eastAsiaTheme="minorEastAsia"/>
          <w:sz w:val="24"/>
          <w:szCs w:val="24"/>
        </w:rPr>
        <w:t>安全生产目标方针管理、安全生产管理机构、人员配备要求、安全生产职责、安全生产投入、安全文化建设、安全生产信息化建设、安全管理制度和安全操作规程、安全教育培训、抢险与事故管理、安全检查与隐患整改、液化天然气、压缩天然气汽车加气站安全管理。</w:t>
      </w:r>
    </w:p>
    <w:p>
      <w:pPr>
        <w:pStyle w:val="18"/>
        <w:ind w:firstLine="480"/>
        <w:rPr>
          <w:rFonts w:asciiTheme="minorEastAsia" w:hAnsiTheme="minorEastAsia" w:eastAsiaTheme="minorEastAsia"/>
          <w:sz w:val="24"/>
          <w:szCs w:val="24"/>
        </w:rPr>
      </w:pPr>
      <w:r>
        <w:rPr>
          <w:rFonts w:asciiTheme="minorEastAsia" w:hAnsiTheme="minorEastAsia" w:eastAsiaTheme="minorEastAsia"/>
          <w:sz w:val="24"/>
          <w:szCs w:val="24"/>
        </w:rPr>
        <w:t>本</w:t>
      </w:r>
      <w:r>
        <w:rPr>
          <w:rFonts w:hint="eastAsia" w:asciiTheme="minorEastAsia" w:hAnsiTheme="minorEastAsia" w:eastAsiaTheme="minorEastAsia"/>
          <w:sz w:val="24"/>
          <w:szCs w:val="24"/>
        </w:rPr>
        <w:t>标准</w:t>
      </w:r>
      <w:r>
        <w:rPr>
          <w:rFonts w:asciiTheme="minorEastAsia" w:hAnsiTheme="minorEastAsia" w:eastAsiaTheme="minorEastAsia"/>
          <w:sz w:val="24"/>
          <w:szCs w:val="24"/>
        </w:rPr>
        <w:t>由云南省住房和城乡建设厅</w:t>
      </w:r>
      <w:r>
        <w:rPr>
          <w:rFonts w:hint="eastAsia" w:asciiTheme="minorEastAsia" w:hAnsiTheme="minorEastAsia" w:eastAsiaTheme="minorEastAsia"/>
          <w:sz w:val="24"/>
          <w:szCs w:val="24"/>
        </w:rPr>
        <w:t>负责管理</w:t>
      </w:r>
      <w:r>
        <w:rPr>
          <w:rFonts w:asciiTheme="minorEastAsia" w:hAnsiTheme="minorEastAsia" w:eastAsiaTheme="minorEastAsia"/>
          <w:sz w:val="24"/>
          <w:szCs w:val="24"/>
        </w:rPr>
        <w:t>。</w:t>
      </w:r>
      <w:r>
        <w:rPr>
          <w:rFonts w:hint="eastAsia" w:asciiTheme="minorEastAsia" w:hAnsiTheme="minorEastAsia" w:eastAsiaTheme="minorEastAsia"/>
          <w:sz w:val="24"/>
          <w:szCs w:val="24"/>
        </w:rPr>
        <w:t>由</w:t>
      </w:r>
      <w:r>
        <w:rPr>
          <w:rFonts w:asciiTheme="minorEastAsia" w:hAnsiTheme="minorEastAsia" w:eastAsiaTheme="minorEastAsia"/>
          <w:sz w:val="24"/>
          <w:szCs w:val="24"/>
        </w:rPr>
        <w:t>云南省燃气计量检测所</w:t>
      </w:r>
      <w:r>
        <w:rPr>
          <w:rFonts w:hint="eastAsia" w:asciiTheme="minorEastAsia" w:hAnsiTheme="minorEastAsia" w:eastAsiaTheme="minorEastAsia"/>
          <w:sz w:val="24"/>
          <w:szCs w:val="24"/>
        </w:rPr>
        <w:t>有限公司、云南中石油昆仑燃气有限公司、昆明煤气（集团）控股有限公司负责具体内容的技术解释。在执行过程中如有意见或建议，请寄送</w:t>
      </w:r>
      <w:r>
        <w:rPr>
          <w:rFonts w:asciiTheme="minorEastAsia" w:hAnsiTheme="minorEastAsia" w:eastAsiaTheme="minorEastAsia"/>
          <w:sz w:val="24"/>
          <w:szCs w:val="24"/>
        </w:rPr>
        <w:t>云南省燃气计量检测所</w:t>
      </w:r>
      <w:r>
        <w:rPr>
          <w:rFonts w:hint="eastAsia" w:asciiTheme="minorEastAsia" w:hAnsiTheme="minorEastAsia" w:eastAsiaTheme="minorEastAsia"/>
          <w:sz w:val="24"/>
          <w:szCs w:val="24"/>
        </w:rPr>
        <w:t>有限公司、云南中石油昆仑燃气有限公司、昆明煤气（集团）控股有限公司（地址：云南省昆明市曙光东区</w:t>
      </w:r>
      <w:r>
        <w:rPr>
          <w:rFonts w:ascii="Times New Roman" w:eastAsiaTheme="minorEastAsia"/>
          <w:sz w:val="24"/>
          <w:szCs w:val="24"/>
        </w:rPr>
        <w:t>40</w:t>
      </w:r>
      <w:r>
        <w:rPr>
          <w:rFonts w:hint="eastAsia" w:asciiTheme="minorEastAsia" w:hAnsiTheme="minorEastAsia" w:eastAsiaTheme="minorEastAsia"/>
          <w:sz w:val="24"/>
          <w:szCs w:val="24"/>
        </w:rPr>
        <w:t>幢，中国（云南）自由贸易试验区昆明片区经开区科技创新园</w:t>
      </w:r>
      <w:r>
        <w:rPr>
          <w:rFonts w:ascii="Times New Roman" w:eastAsiaTheme="minorEastAsia"/>
          <w:sz w:val="24"/>
          <w:szCs w:val="24"/>
        </w:rPr>
        <w:t>2B1-21</w:t>
      </w:r>
      <w:r>
        <w:rPr>
          <w:rFonts w:hint="eastAsia" w:asciiTheme="minorEastAsia" w:hAnsiTheme="minorEastAsia" w:eastAsiaTheme="minorEastAsia"/>
          <w:sz w:val="24"/>
          <w:szCs w:val="24"/>
        </w:rPr>
        <w:t>室，云南省昆明市官渡区春城路</w:t>
      </w:r>
      <w:r>
        <w:rPr>
          <w:rFonts w:ascii="Times New Roman" w:eastAsiaTheme="minorEastAsia"/>
          <w:sz w:val="24"/>
          <w:szCs w:val="24"/>
        </w:rPr>
        <w:t>109</w:t>
      </w:r>
      <w:r>
        <w:rPr>
          <w:rFonts w:hint="eastAsia" w:asciiTheme="minorEastAsia" w:hAnsiTheme="minorEastAsia" w:eastAsiaTheme="minorEastAsia"/>
          <w:sz w:val="24"/>
          <w:szCs w:val="24"/>
        </w:rPr>
        <w:t>号</w:t>
      </w:r>
      <w:r>
        <w:rPr>
          <w:rFonts w:asciiTheme="minorEastAsia" w:hAnsiTheme="minorEastAsia" w:eastAsiaTheme="minorEastAsia"/>
          <w:sz w:val="24"/>
          <w:szCs w:val="24"/>
        </w:rPr>
        <w:t>,</w:t>
      </w:r>
      <w:r>
        <w:rPr>
          <w:rFonts w:hint="eastAsia" w:asciiTheme="minorEastAsia" w:hAnsiTheme="minorEastAsia" w:eastAsiaTheme="minorEastAsia"/>
          <w:sz w:val="24"/>
          <w:szCs w:val="24"/>
        </w:rPr>
        <w:t>邮编：</w:t>
      </w:r>
      <w:r>
        <w:rPr>
          <w:rFonts w:ascii="Times New Roman" w:eastAsiaTheme="minorEastAsia"/>
          <w:sz w:val="24"/>
          <w:szCs w:val="24"/>
        </w:rPr>
        <w:t>650216</w:t>
      </w:r>
      <w:r>
        <w:rPr>
          <w:rFonts w:hint="eastAsia" w:asciiTheme="minorEastAsia" w:hAnsiTheme="minorEastAsia" w:eastAsiaTheme="minorEastAsia"/>
          <w:sz w:val="24"/>
          <w:szCs w:val="24"/>
        </w:rPr>
        <w:t>）</w:t>
      </w:r>
    </w:p>
    <w:p>
      <w:pPr>
        <w:pStyle w:val="18"/>
        <w:ind w:firstLine="480"/>
        <w:rPr>
          <w:rFonts w:asciiTheme="minorEastAsia" w:hAnsiTheme="minorEastAsia" w:eastAsiaTheme="minorEastAsia"/>
          <w:sz w:val="24"/>
          <w:szCs w:val="24"/>
        </w:rPr>
      </w:pPr>
      <w:r>
        <w:rPr>
          <w:rFonts w:asciiTheme="minorEastAsia" w:hAnsiTheme="minorEastAsia" w:eastAsiaTheme="minorEastAsia"/>
          <w:sz w:val="24"/>
          <w:szCs w:val="24"/>
        </w:rPr>
        <w:t>本</w:t>
      </w:r>
      <w:r>
        <w:rPr>
          <w:rFonts w:hint="eastAsia" w:asciiTheme="minorEastAsia" w:hAnsiTheme="minorEastAsia" w:eastAsiaTheme="minorEastAsia"/>
          <w:sz w:val="24"/>
          <w:szCs w:val="24"/>
        </w:rPr>
        <w:t>标准主要</w:t>
      </w:r>
      <w:r>
        <w:rPr>
          <w:rFonts w:asciiTheme="minorEastAsia" w:hAnsiTheme="minorEastAsia" w:eastAsiaTheme="minorEastAsia"/>
          <w:sz w:val="24"/>
          <w:szCs w:val="24"/>
        </w:rPr>
        <w:t>起草单位：云南省燃气计量检测所</w:t>
      </w:r>
      <w:r>
        <w:rPr>
          <w:rFonts w:hint="eastAsia" w:asciiTheme="minorEastAsia" w:hAnsiTheme="minorEastAsia" w:eastAsiaTheme="minorEastAsia"/>
          <w:sz w:val="24"/>
          <w:szCs w:val="24"/>
        </w:rPr>
        <w:t>有限公司</w:t>
      </w:r>
    </w:p>
    <w:p>
      <w:pPr>
        <w:pStyle w:val="18"/>
        <w:ind w:firstLine="2880" w:firstLineChars="1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云南中石油昆仑燃气有限公司   </w:t>
      </w:r>
    </w:p>
    <w:p>
      <w:pPr>
        <w:pStyle w:val="18"/>
        <w:ind w:firstLine="2880" w:firstLineChars="1200"/>
        <w:rPr>
          <w:rFonts w:asciiTheme="minorEastAsia" w:hAnsiTheme="minorEastAsia" w:eastAsiaTheme="minorEastAsia"/>
          <w:sz w:val="24"/>
          <w:szCs w:val="24"/>
        </w:rPr>
      </w:pPr>
      <w:r>
        <w:rPr>
          <w:rFonts w:hint="eastAsia" w:asciiTheme="minorEastAsia" w:hAnsiTheme="minorEastAsia" w:eastAsiaTheme="minorEastAsia"/>
          <w:sz w:val="24"/>
          <w:szCs w:val="24"/>
        </w:rPr>
        <w:t>昆明煤气（集团）控股有限公司</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本标准参与起草单位：云南省消防救援总队</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云南省城市燃气协会</w:t>
      </w:r>
    </w:p>
    <w:p>
      <w:pPr>
        <w:pStyle w:val="18"/>
        <w:ind w:firstLine="2880" w:firstLineChars="1200"/>
        <w:rPr>
          <w:rFonts w:asciiTheme="minorEastAsia" w:hAnsiTheme="minorEastAsia" w:eastAsiaTheme="minorEastAsia"/>
          <w:sz w:val="24"/>
          <w:szCs w:val="24"/>
        </w:rPr>
      </w:pPr>
      <w:r>
        <w:rPr>
          <w:rFonts w:hint="eastAsia" w:asciiTheme="minorEastAsia" w:hAnsiTheme="minorEastAsia" w:eastAsiaTheme="minorEastAsia"/>
          <w:sz w:val="24"/>
          <w:szCs w:val="24"/>
        </w:rPr>
        <w:t>昆明华润燃气有限公司</w:t>
      </w:r>
    </w:p>
    <w:p>
      <w:pPr>
        <w:pStyle w:val="18"/>
        <w:ind w:firstLine="2880" w:firstLineChars="1200"/>
        <w:rPr>
          <w:rFonts w:asciiTheme="minorEastAsia" w:hAnsiTheme="minorEastAsia" w:eastAsiaTheme="minorEastAsia"/>
          <w:sz w:val="24"/>
          <w:szCs w:val="24"/>
        </w:rPr>
      </w:pPr>
      <w:r>
        <w:rPr>
          <w:rFonts w:hint="eastAsia" w:asciiTheme="minorEastAsia" w:hAnsiTheme="minorEastAsia" w:eastAsiaTheme="minorEastAsia"/>
          <w:sz w:val="24"/>
          <w:szCs w:val="24"/>
        </w:rPr>
        <w:t>云南中石化燃气有限公司</w:t>
      </w:r>
    </w:p>
    <w:p>
      <w:pPr>
        <w:pStyle w:val="18"/>
        <w:ind w:firstLine="2880" w:firstLineChars="1200"/>
        <w:rPr>
          <w:rFonts w:asciiTheme="minorEastAsia" w:hAnsiTheme="minorEastAsia" w:eastAsiaTheme="minorEastAsia"/>
          <w:sz w:val="24"/>
          <w:szCs w:val="24"/>
        </w:rPr>
      </w:pPr>
      <w:r>
        <w:rPr>
          <w:rFonts w:hint="eastAsia" w:asciiTheme="minorEastAsia" w:hAnsiTheme="minorEastAsia" w:eastAsiaTheme="minorEastAsia"/>
          <w:sz w:val="24"/>
          <w:szCs w:val="24"/>
        </w:rPr>
        <w:t>云南省标准化研究院</w:t>
      </w:r>
    </w:p>
    <w:p>
      <w:pPr>
        <w:pStyle w:val="18"/>
        <w:ind w:firstLine="2880" w:firstLineChars="1200"/>
        <w:rPr>
          <w:rFonts w:asciiTheme="minorEastAsia" w:hAnsiTheme="minorEastAsia" w:eastAsiaTheme="minorEastAsia"/>
          <w:sz w:val="24"/>
          <w:szCs w:val="24"/>
        </w:rPr>
      </w:pPr>
      <w:r>
        <w:rPr>
          <w:rFonts w:hint="eastAsia" w:asciiTheme="minorEastAsia" w:hAnsiTheme="minorEastAsia" w:eastAsiaTheme="minorEastAsia"/>
          <w:sz w:val="24"/>
          <w:szCs w:val="24"/>
        </w:rPr>
        <w:t>昆明城市燃气规划设计院有限公司</w:t>
      </w:r>
    </w:p>
    <w:p>
      <w:pPr>
        <w:pStyle w:val="18"/>
        <w:ind w:firstLine="2880" w:firstLineChars="1200"/>
        <w:rPr>
          <w:rFonts w:asciiTheme="minorEastAsia" w:hAnsiTheme="minorEastAsia" w:eastAsiaTheme="minorEastAsia"/>
          <w:sz w:val="24"/>
          <w:szCs w:val="24"/>
        </w:rPr>
      </w:pPr>
      <w:r>
        <w:rPr>
          <w:rFonts w:hint="eastAsia" w:asciiTheme="minorEastAsia" w:hAnsiTheme="minorEastAsia" w:eastAsiaTheme="minorEastAsia"/>
          <w:sz w:val="24"/>
          <w:szCs w:val="24"/>
        </w:rPr>
        <w:t>云南云尚燃气工程规划设计公司</w:t>
      </w:r>
    </w:p>
    <w:p>
      <w:pPr>
        <w:pStyle w:val="18"/>
        <w:ind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本</w:t>
      </w:r>
      <w:r>
        <w:rPr>
          <w:rFonts w:hint="eastAsia" w:asciiTheme="minorEastAsia" w:hAnsiTheme="minorEastAsia" w:eastAsiaTheme="minorEastAsia"/>
          <w:sz w:val="24"/>
          <w:szCs w:val="24"/>
        </w:rPr>
        <w:t>标准</w:t>
      </w:r>
      <w:r>
        <w:rPr>
          <w:rFonts w:asciiTheme="minorEastAsia" w:hAnsiTheme="minorEastAsia" w:eastAsiaTheme="minorEastAsia"/>
          <w:sz w:val="24"/>
          <w:szCs w:val="24"/>
        </w:rPr>
        <w:t>主要起草人：</w:t>
      </w:r>
      <w:r>
        <w:rPr>
          <w:rFonts w:hint="eastAsia" w:asciiTheme="minorEastAsia" w:hAnsiTheme="minorEastAsia" w:eastAsiaTheme="minorEastAsia"/>
          <w:sz w:val="24"/>
          <w:szCs w:val="24"/>
        </w:rPr>
        <w:t>云南省燃气计量检测所有限公司编制人员</w:t>
      </w:r>
    </w:p>
    <w:p>
      <w:pPr>
        <w:pStyle w:val="18"/>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云南中石油昆仑燃气有限公司编制人员</w:t>
      </w:r>
    </w:p>
    <w:p>
      <w:pPr>
        <w:pStyle w:val="18"/>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昆明煤气（集团）控股有限公司编制人员</w:t>
      </w:r>
    </w:p>
    <w:p>
      <w:pPr>
        <w:pStyle w:val="18"/>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云南省消防救援总队编制人员</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云南省城市燃气协会编制人员</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昆明华润燃气有限公司编制人员</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云南中石化燃气有限公司编制人员</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云南省标准化研究院编制人员</w:t>
      </w:r>
    </w:p>
    <w:p>
      <w:pPr>
        <w:pStyle w:val="18"/>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昆明城市燃气规划设计院有限公司编制人员</w:t>
      </w:r>
    </w:p>
    <w:p>
      <w:pPr>
        <w:pStyle w:val="18"/>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云南云尚燃气工程规划设计公司编制人员</w:t>
      </w:r>
    </w:p>
    <w:p>
      <w:pPr>
        <w:ind w:firstLine="420"/>
        <w:jc w:val="left"/>
        <w:rPr>
          <w:rFonts w:asciiTheme="minorEastAsia" w:hAnsiTheme="minorEastAsia"/>
          <w:sz w:val="24"/>
          <w:szCs w:val="24"/>
        </w:rPr>
      </w:pPr>
      <w:r>
        <w:rPr>
          <w:rFonts w:hint="eastAsia" w:asciiTheme="minorEastAsia" w:hAnsiTheme="minorEastAsia"/>
          <w:sz w:val="24"/>
          <w:szCs w:val="24"/>
        </w:rPr>
        <w:t>本标准主要审查人员：</w:t>
      </w:r>
    </w:p>
    <w:p>
      <w:pPr>
        <w:ind w:firstLine="420"/>
        <w:jc w:val="left"/>
        <w:rPr>
          <w:rFonts w:asciiTheme="minorEastAsia" w:hAnsiTheme="minorEastAsia"/>
        </w:rPr>
      </w:pPr>
    </w:p>
    <w:p>
      <w:pPr>
        <w:ind w:firstLine="420"/>
        <w:jc w:val="left"/>
        <w:rPr>
          <w:rFonts w:asciiTheme="minorEastAsia" w:hAnsiTheme="minorEastAsia"/>
        </w:rPr>
      </w:pPr>
    </w:p>
    <w:p>
      <w:pPr>
        <w:ind w:firstLine="420"/>
        <w:jc w:val="left"/>
        <w:rPr>
          <w:rFonts w:asciiTheme="minorEastAsia" w:hAnsiTheme="minorEastAsia"/>
        </w:rPr>
      </w:pPr>
    </w:p>
    <w:p>
      <w:pPr>
        <w:ind w:firstLine="420"/>
        <w:jc w:val="left"/>
        <w:rPr>
          <w:rFonts w:asciiTheme="minorEastAsia" w:hAnsiTheme="minorEastAsia"/>
        </w:rPr>
      </w:pPr>
    </w:p>
    <w:p>
      <w:pPr>
        <w:ind w:firstLine="420"/>
        <w:jc w:val="left"/>
        <w:rPr>
          <w:rFonts w:asciiTheme="minorEastAsia" w:hAnsiTheme="minorEastAsia"/>
        </w:rPr>
      </w:pPr>
    </w:p>
    <w:p>
      <w:pPr>
        <w:ind w:firstLine="420"/>
        <w:jc w:val="left"/>
        <w:rPr>
          <w:rFonts w:asciiTheme="minorEastAsia" w:hAnsiTheme="minorEastAsia"/>
        </w:rPr>
      </w:pPr>
    </w:p>
    <w:p>
      <w:pPr>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
    <w:p/>
    <w:p/>
    <w:p/>
    <w:p/>
    <w:p/>
    <w:p/>
    <w:p/>
    <w:p/>
    <w:p/>
    <w:p>
      <w:pPr>
        <w:jc w:val="center"/>
        <w:rPr>
          <w:rFonts w:ascii="黑体" w:hAnsi="黑体" w:eastAsia="黑体"/>
          <w:b/>
          <w:sz w:val="44"/>
          <w:szCs w:val="44"/>
        </w:rPr>
        <w:sectPr>
          <w:footerReference r:id="rId11" w:type="default"/>
          <w:pgSz w:w="11906" w:h="16838"/>
          <w:pgMar w:top="1440" w:right="1797" w:bottom="1383" w:left="1797" w:header="851" w:footer="992" w:gutter="0"/>
          <w:pgNumType w:fmt="upperRoman"/>
          <w:cols w:space="425" w:num="1"/>
          <w:docGrid w:type="lines" w:linePitch="312" w:charSpace="0"/>
        </w:sectPr>
      </w:pPr>
    </w:p>
    <w:p>
      <w:pPr>
        <w:jc w:val="center"/>
        <w:rPr>
          <w:rFonts w:ascii="黑体" w:hAnsi="黑体" w:eastAsia="黑体"/>
          <w:b/>
          <w:sz w:val="44"/>
          <w:szCs w:val="44"/>
        </w:rPr>
      </w:pPr>
      <w:r>
        <w:rPr>
          <w:rFonts w:hint="eastAsia" w:ascii="黑体" w:hAnsi="黑体" w:eastAsia="黑体"/>
          <w:b/>
          <w:sz w:val="44"/>
          <w:szCs w:val="44"/>
        </w:rPr>
        <w:t>目  次</w:t>
      </w:r>
    </w:p>
    <w:p>
      <w:pPr>
        <w:pStyle w:val="26"/>
        <w:tabs>
          <w:tab w:val="right" w:leader="dot" w:pos="8312"/>
        </w:tabs>
        <w:spacing w:line="400" w:lineRule="atLeast"/>
        <w:rPr>
          <w:rFonts w:asciiTheme="minorEastAsia" w:hAnsiTheme="minorEastAsia" w:eastAsiaTheme="minorEastAsia"/>
          <w:bCs/>
          <w:sz w:val="21"/>
          <w:szCs w:val="21"/>
        </w:rPr>
      </w:pP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TOC \o "1-2" \h \u </w:instrText>
      </w:r>
      <w:r>
        <w:rPr>
          <w:rFonts w:asciiTheme="minorEastAsia" w:hAnsiTheme="minorEastAsia" w:eastAsiaTheme="minorEastAsia"/>
          <w:b/>
          <w:sz w:val="21"/>
          <w:szCs w:val="21"/>
        </w:rPr>
        <w:fldChar w:fldCharType="separate"/>
      </w:r>
      <w:r>
        <w:fldChar w:fldCharType="begin"/>
      </w:r>
      <w:r>
        <w:instrText xml:space="preserve"> HYPERLINK \l "_Toc1581" </w:instrText>
      </w:r>
      <w:r>
        <w:fldChar w:fldCharType="separate"/>
      </w:r>
      <w:r>
        <w:rPr>
          <w:rFonts w:hint="eastAsia" w:asciiTheme="minorEastAsia" w:hAnsiTheme="minorEastAsia" w:eastAsiaTheme="minorEastAsia"/>
          <w:bCs/>
          <w:sz w:val="21"/>
          <w:szCs w:val="21"/>
        </w:rPr>
        <w:t>前言</w:t>
      </w:r>
      <w:r>
        <w:rPr>
          <w:rFonts w:asciiTheme="minorEastAsia" w:hAnsiTheme="minorEastAsia" w:eastAsiaTheme="minorEastAsia"/>
          <w:bCs/>
          <w:sz w:val="21"/>
          <w:szCs w:val="21"/>
        </w:rPr>
        <w:tab/>
      </w:r>
      <w:r>
        <w:rPr>
          <w:rFonts w:asciiTheme="minorEastAsia" w:hAnsiTheme="minorEastAsia" w:eastAsiaTheme="minorEastAsia"/>
          <w:bCs/>
          <w:sz w:val="21"/>
          <w:szCs w:val="21"/>
        </w:rPr>
        <w:t>Ⅲ</w:t>
      </w:r>
      <w:r>
        <w:rPr>
          <w:rFonts w:asciiTheme="minorEastAsia" w:hAnsiTheme="minorEastAsia" w:eastAsiaTheme="minorEastAsia"/>
          <w:bCs/>
          <w:sz w:val="21"/>
          <w:szCs w:val="21"/>
        </w:rPr>
        <w:fldChar w:fldCharType="end"/>
      </w:r>
      <w:r>
        <w:rPr>
          <w:rFonts w:hint="eastAsia" w:asciiTheme="minorEastAsia" w:hAnsiTheme="minorEastAsia" w:eastAsiaTheme="minorEastAsia"/>
          <w:bCs/>
          <w:sz w:val="21"/>
          <w:szCs w:val="21"/>
        </w:rPr>
        <w:t>、Ⅳ</w:t>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"_Toc18435" </w:instrText>
      </w:r>
      <w:r>
        <w:fldChar w:fldCharType="separate"/>
      </w:r>
      <w:r>
        <w:rPr>
          <w:rFonts w:asciiTheme="minorEastAsia" w:hAnsiTheme="minorEastAsia" w:eastAsiaTheme="minorEastAsia"/>
          <w:bCs/>
          <w:sz w:val="21"/>
          <w:szCs w:val="21"/>
        </w:rPr>
        <w:t>1 总则</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1</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"_Toc29340" </w:instrText>
      </w:r>
      <w:r>
        <w:fldChar w:fldCharType="separate"/>
      </w:r>
      <w:r>
        <w:rPr>
          <w:rFonts w:hint="eastAsia" w:asciiTheme="minorEastAsia" w:hAnsiTheme="minorEastAsia" w:eastAsiaTheme="minorEastAsia"/>
          <w:bCs/>
          <w:sz w:val="21"/>
          <w:szCs w:val="21"/>
        </w:rPr>
        <w:t>2 术语</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2</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rPr>
          <w:rFonts w:asciiTheme="minorEastAsia" w:hAnsiTheme="minorEastAsia" w:eastAsiaTheme="minorEastAsia"/>
          <w:b/>
          <w:sz w:val="21"/>
          <w:szCs w:val="21"/>
        </w:rPr>
      </w:pPr>
      <w:r>
        <w:fldChar w:fldCharType="begin"/>
      </w:r>
      <w:r>
        <w:instrText xml:space="preserve"> HYPERLINK \l "_Toc359" </w:instrText>
      </w:r>
      <w:r>
        <w:fldChar w:fldCharType="separate"/>
      </w:r>
      <w:r>
        <w:rPr>
          <w:rFonts w:asciiTheme="minorEastAsia" w:hAnsiTheme="minorEastAsia" w:eastAsiaTheme="minorEastAsia"/>
          <w:bCs/>
          <w:sz w:val="21"/>
          <w:szCs w:val="21"/>
        </w:rPr>
        <w:t xml:space="preserve">3 </w:t>
      </w:r>
      <w:r>
        <w:rPr>
          <w:rFonts w:hint="eastAsia" w:cs="宋体" w:asciiTheme="minorEastAsia" w:hAnsiTheme="minorEastAsia" w:eastAsiaTheme="minorEastAsia"/>
          <w:bCs/>
          <w:sz w:val="21"/>
          <w:szCs w:val="21"/>
        </w:rPr>
        <w:t>汽车加气运营企业安全管理</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3</w:t>
      </w:r>
      <w:r>
        <w:rPr>
          <w:rFonts w:hint="eastAsia" w:asciiTheme="minorEastAsia" w:hAnsiTheme="minorEastAsia" w:eastAsiaTheme="minorEastAsia"/>
          <w:bCs/>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"_Toc30904" </w:instrText>
      </w:r>
      <w:r>
        <w:fldChar w:fldCharType="separate"/>
      </w:r>
      <w:r>
        <w:rPr>
          <w:rFonts w:asciiTheme="minorEastAsia" w:hAnsiTheme="minorEastAsia" w:eastAsiaTheme="minorEastAsia"/>
          <w:sz w:val="21"/>
          <w:szCs w:val="21"/>
        </w:rPr>
        <w:t>3.1 安全生产目标方针管理</w:t>
      </w:r>
      <w:r>
        <w:rPr>
          <w:rFonts w:asciiTheme="minorEastAsia" w:hAnsiTheme="minorEastAsia" w:eastAsiaTheme="minorEastAsia"/>
          <w:sz w:val="21"/>
          <w:szCs w:val="21"/>
        </w:rPr>
        <w:tab/>
      </w: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"_Toc10712" </w:instrText>
      </w:r>
      <w:r>
        <w:fldChar w:fldCharType="separate"/>
      </w:r>
      <w:r>
        <w:rPr>
          <w:rFonts w:asciiTheme="minorEastAsia" w:hAnsiTheme="minorEastAsia" w:eastAsiaTheme="minorEastAsia"/>
          <w:sz w:val="21"/>
          <w:szCs w:val="21"/>
        </w:rPr>
        <w:t>3.2 安全生产管理机构</w:t>
      </w:r>
      <w:r>
        <w:rPr>
          <w:rFonts w:asciiTheme="minorEastAsia" w:hAnsiTheme="minorEastAsia" w:eastAsiaTheme="minorEastAsia"/>
          <w:sz w:val="21"/>
          <w:szCs w:val="21"/>
        </w:rPr>
        <w:tab/>
      </w: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"_Toc3178" </w:instrText>
      </w:r>
      <w:r>
        <w:fldChar w:fldCharType="separate"/>
      </w:r>
      <w:r>
        <w:rPr>
          <w:rFonts w:hint="eastAsia" w:asciiTheme="minorEastAsia" w:hAnsiTheme="minorEastAsia" w:eastAsiaTheme="minorEastAsia"/>
          <w:sz w:val="21"/>
          <w:szCs w:val="21"/>
        </w:rPr>
        <w:t>3.3 人员配备要求</w:t>
      </w:r>
      <w:r>
        <w:rPr>
          <w:rFonts w:asciiTheme="minorEastAsia" w:hAnsiTheme="minorEastAsia" w:eastAsiaTheme="minorEastAsia"/>
          <w:sz w:val="21"/>
          <w:szCs w:val="21"/>
        </w:rPr>
        <w:tab/>
      </w: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"_Toc4434" </w:instrText>
      </w:r>
      <w:r>
        <w:fldChar w:fldCharType="separate"/>
      </w:r>
      <w:r>
        <w:rPr>
          <w:rFonts w:hint="eastAsia" w:asciiTheme="minorEastAsia" w:hAnsiTheme="minorEastAsia" w:eastAsiaTheme="minorEastAsia"/>
          <w:sz w:val="21"/>
          <w:szCs w:val="21"/>
        </w:rPr>
        <w:t>3.4 安全生产职责</w:t>
      </w:r>
      <w:r>
        <w:rPr>
          <w:rFonts w:asciiTheme="minorEastAsia" w:hAnsiTheme="minorEastAsia" w:eastAsiaTheme="minorEastAsia"/>
          <w:sz w:val="21"/>
          <w:szCs w:val="21"/>
        </w:rPr>
        <w:tab/>
      </w: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"_Toc4466" </w:instrText>
      </w:r>
      <w:r>
        <w:fldChar w:fldCharType="separate"/>
      </w:r>
      <w:r>
        <w:rPr>
          <w:rFonts w:hint="eastAsia" w:asciiTheme="minorEastAsia" w:hAnsiTheme="minorEastAsia" w:eastAsiaTheme="minorEastAsia"/>
          <w:sz w:val="21"/>
          <w:szCs w:val="21"/>
        </w:rPr>
        <w:t>3.5 安全生产投入</w:t>
      </w:r>
      <w:r>
        <w:rPr>
          <w:rFonts w:asciiTheme="minorEastAsia" w:hAnsiTheme="minorEastAsia" w:eastAsiaTheme="minorEastAsia"/>
          <w:sz w:val="21"/>
          <w:szCs w:val="21"/>
        </w:rPr>
        <w:tab/>
      </w: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"_Toc26235" </w:instrText>
      </w:r>
      <w:r>
        <w:fldChar w:fldCharType="separate"/>
      </w:r>
      <w:r>
        <w:rPr>
          <w:rFonts w:hint="eastAsia" w:asciiTheme="minorEastAsia" w:hAnsiTheme="minorEastAsia" w:eastAsiaTheme="minorEastAsia"/>
          <w:sz w:val="21"/>
          <w:szCs w:val="21"/>
        </w:rPr>
        <w:t>3.6 安全文化、标准化建设</w:t>
      </w:r>
      <w:r>
        <w:rPr>
          <w:rFonts w:asciiTheme="minorEastAsia" w:hAnsiTheme="minorEastAsia" w:eastAsiaTheme="minorEastAsia"/>
          <w:sz w:val="21"/>
          <w:szCs w:val="21"/>
        </w:rPr>
        <w:tab/>
      </w: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"_Toc8533" </w:instrText>
      </w:r>
      <w:r>
        <w:fldChar w:fldCharType="separate"/>
      </w:r>
      <w:r>
        <w:rPr>
          <w:rFonts w:hint="eastAsia" w:asciiTheme="minorEastAsia" w:hAnsiTheme="minorEastAsia" w:eastAsiaTheme="minorEastAsia"/>
          <w:sz w:val="21"/>
          <w:szCs w:val="21"/>
        </w:rPr>
        <w:t>3.7 安全生产信息化建设</w:t>
      </w:r>
      <w:r>
        <w:rPr>
          <w:rFonts w:asciiTheme="minorEastAsia" w:hAnsiTheme="minorEastAsia" w:eastAsiaTheme="minorEastAsia"/>
          <w:sz w:val="21"/>
          <w:szCs w:val="21"/>
        </w:rPr>
        <w:tab/>
      </w: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"_Toc21592" </w:instrText>
      </w:r>
      <w:r>
        <w:fldChar w:fldCharType="separate"/>
      </w:r>
      <w:r>
        <w:rPr>
          <w:rFonts w:hint="eastAsia" w:asciiTheme="minorEastAsia" w:hAnsiTheme="minorEastAsia" w:eastAsiaTheme="minorEastAsia"/>
          <w:sz w:val="21"/>
          <w:szCs w:val="21"/>
        </w:rPr>
        <w:t>3.8 安全管理制度和安全操作规程</w:t>
      </w:r>
      <w:r>
        <w:rPr>
          <w:rFonts w:asciiTheme="minorEastAsia" w:hAnsiTheme="minorEastAsia" w:eastAsiaTheme="minorEastAsia"/>
          <w:sz w:val="21"/>
          <w:szCs w:val="21"/>
        </w:rPr>
        <w:tab/>
      </w: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"_Toc7249" </w:instrText>
      </w:r>
      <w:r>
        <w:fldChar w:fldCharType="separate"/>
      </w:r>
      <w:r>
        <w:rPr>
          <w:rFonts w:hint="eastAsia" w:asciiTheme="minorEastAsia" w:hAnsiTheme="minorEastAsia" w:eastAsiaTheme="minorEastAsia"/>
          <w:sz w:val="21"/>
          <w:szCs w:val="21"/>
        </w:rPr>
        <w:t>3.9 安全教育培训</w:t>
      </w:r>
      <w:r>
        <w:rPr>
          <w:rFonts w:asciiTheme="minorEastAsia" w:hAnsiTheme="minorEastAsia" w:eastAsiaTheme="minorEastAsia"/>
          <w:sz w:val="21"/>
          <w:szCs w:val="21"/>
        </w:rPr>
        <w:tab/>
      </w: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"_Toc15949" </w:instrText>
      </w:r>
      <w:r>
        <w:fldChar w:fldCharType="separate"/>
      </w:r>
      <w:r>
        <w:rPr>
          <w:rFonts w:hint="eastAsia" w:asciiTheme="minorEastAsia" w:hAnsiTheme="minorEastAsia" w:eastAsiaTheme="minorEastAsia"/>
          <w:sz w:val="21"/>
          <w:szCs w:val="21"/>
        </w:rPr>
        <w:t>3.10 抢险与事故管理</w:t>
      </w:r>
      <w:r>
        <w:rPr>
          <w:rFonts w:asciiTheme="minorEastAsia" w:hAnsiTheme="minorEastAsia" w:eastAsiaTheme="minorEastAsia"/>
          <w:sz w:val="21"/>
          <w:szCs w:val="21"/>
        </w:rPr>
        <w:tab/>
      </w:r>
      <w:r>
        <w:rPr>
          <w:rFonts w:hint="eastAsia" w:asciiTheme="minorEastAsia" w:hAnsiTheme="minorEastAsia" w:eastAsiaTheme="minorEastAsia"/>
          <w:sz w:val="21"/>
          <w:szCs w:val="21"/>
        </w:rPr>
        <w:t>5</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"_Toc21455" </w:instrText>
      </w:r>
      <w:r>
        <w:fldChar w:fldCharType="separate"/>
      </w:r>
      <w:r>
        <w:rPr>
          <w:rFonts w:hint="eastAsia" w:asciiTheme="minorEastAsia" w:hAnsiTheme="minorEastAsia" w:eastAsiaTheme="minorEastAsia"/>
          <w:sz w:val="21"/>
          <w:szCs w:val="21"/>
        </w:rPr>
        <w:t xml:space="preserve">3.11 </w:t>
      </w:r>
      <w:r>
        <w:rPr>
          <w:rFonts w:asciiTheme="minorEastAsia" w:hAnsiTheme="minorEastAsia" w:eastAsiaTheme="minorEastAsia"/>
          <w:sz w:val="21"/>
          <w:szCs w:val="21"/>
        </w:rPr>
        <w:t>安全检查</w:t>
      </w:r>
      <w:r>
        <w:rPr>
          <w:rFonts w:hint="eastAsia" w:asciiTheme="minorEastAsia" w:hAnsiTheme="minorEastAsia" w:eastAsiaTheme="minorEastAsia"/>
          <w:sz w:val="21"/>
          <w:szCs w:val="21"/>
        </w:rPr>
        <w:t>与</w:t>
      </w:r>
      <w:r>
        <w:rPr>
          <w:rFonts w:asciiTheme="minorEastAsia" w:hAnsiTheme="minorEastAsia" w:eastAsiaTheme="minorEastAsia"/>
          <w:sz w:val="21"/>
          <w:szCs w:val="21"/>
        </w:rPr>
        <w:t>隐患整改</w:t>
      </w:r>
      <w:r>
        <w:rPr>
          <w:rFonts w:asciiTheme="minorEastAsia" w:hAnsiTheme="minorEastAsia" w:eastAsiaTheme="minorEastAsia"/>
          <w:sz w:val="21"/>
          <w:szCs w:val="21"/>
        </w:rPr>
        <w:tab/>
      </w:r>
      <w:r>
        <w:rPr>
          <w:rFonts w:hint="eastAsia" w:asciiTheme="minorEastAsia" w:hAnsiTheme="minorEastAsia" w:eastAsiaTheme="minorEastAsia"/>
          <w:sz w:val="21"/>
          <w:szCs w:val="21"/>
        </w:rPr>
        <w:t>6</w:t>
      </w:r>
      <w:r>
        <w:rPr>
          <w:rFonts w:hint="eastAsia" w:asciiTheme="minorEastAsia" w:hAnsiTheme="minorEastAsia" w:eastAsiaTheme="minorEastAsia"/>
          <w:sz w:val="21"/>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"_Toc9559" </w:instrText>
      </w:r>
      <w:r>
        <w:fldChar w:fldCharType="separate"/>
      </w:r>
      <w:r>
        <w:rPr>
          <w:rFonts w:hint="eastAsia" w:asciiTheme="minorEastAsia" w:hAnsiTheme="minorEastAsia" w:eastAsiaTheme="minorEastAsia"/>
          <w:bCs/>
          <w:sz w:val="21"/>
          <w:szCs w:val="21"/>
        </w:rPr>
        <w:t>4 液化天然气、压缩天然气汽车加气站安全</w:t>
      </w:r>
      <w:r>
        <w:rPr>
          <w:rFonts w:asciiTheme="minorEastAsia" w:hAnsiTheme="minorEastAsia" w:eastAsiaTheme="minorEastAsia"/>
          <w:bCs/>
          <w:sz w:val="21"/>
          <w:szCs w:val="21"/>
        </w:rPr>
        <w:t>管理</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6</w:t>
      </w:r>
      <w:r>
        <w:rPr>
          <w:rFonts w:hint="eastAsia" w:asciiTheme="minorEastAsia" w:hAnsiTheme="minorEastAsia" w:eastAsiaTheme="minorEastAsia"/>
          <w:bCs/>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"_Toc11590" </w:instrText>
      </w:r>
      <w:r>
        <w:fldChar w:fldCharType="separate"/>
      </w:r>
      <w:r>
        <w:rPr>
          <w:rFonts w:hint="eastAsia" w:asciiTheme="minorEastAsia" w:hAnsiTheme="minorEastAsia" w:eastAsiaTheme="minorEastAsia"/>
          <w:sz w:val="21"/>
          <w:szCs w:val="21"/>
        </w:rPr>
        <w:t>4.1 安全生产基础管理</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_Toc11590 \h </w:instrText>
      </w:r>
      <w:r>
        <w:rPr>
          <w:rFonts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"_Toc18382" </w:instrText>
      </w:r>
      <w:r>
        <w:fldChar w:fldCharType="separate"/>
      </w:r>
      <w:r>
        <w:rPr>
          <w:rFonts w:hint="eastAsia" w:asciiTheme="minorEastAsia" w:hAnsiTheme="minorEastAsia" w:eastAsiaTheme="minorEastAsia"/>
          <w:bCs/>
          <w:sz w:val="21"/>
          <w:szCs w:val="21"/>
        </w:rPr>
        <w:t>4.2 现场安全管理</w:t>
      </w:r>
      <w:r>
        <w:rPr>
          <w:rFonts w:asciiTheme="minorEastAsia" w:hAnsiTheme="minorEastAsia" w:eastAsiaTheme="minorEastAsia"/>
          <w:sz w:val="21"/>
          <w:szCs w:val="21"/>
        </w:rPr>
        <w:tab/>
      </w:r>
      <w:r>
        <w:rPr>
          <w:rFonts w:hint="eastAsia" w:asciiTheme="minorEastAsia" w:hAnsiTheme="minorEastAsia" w:eastAsiaTheme="minorEastAsia"/>
          <w:sz w:val="21"/>
          <w:szCs w:val="21"/>
        </w:rPr>
        <w:t>7</w:t>
      </w:r>
      <w:r>
        <w:rPr>
          <w:rFonts w:hint="eastAsia" w:asciiTheme="minorEastAsia" w:hAnsiTheme="minorEastAsia" w:eastAsiaTheme="minorEastAsia"/>
          <w:sz w:val="21"/>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"_Toc8222" </w:instrText>
      </w:r>
      <w:r>
        <w:fldChar w:fldCharType="separate"/>
      </w:r>
      <w:r>
        <w:rPr>
          <w:rFonts w:hint="eastAsia" w:asciiTheme="minorEastAsia" w:hAnsiTheme="minorEastAsia" w:eastAsiaTheme="minorEastAsia"/>
          <w:bCs/>
          <w:sz w:val="21"/>
          <w:szCs w:val="21"/>
        </w:rPr>
        <w:t>附录A政府燃气管理部门开展安全监督检查内容</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9</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rPr>
          <w:rFonts w:asciiTheme="minorEastAsia" w:hAnsiTheme="minorEastAsia" w:eastAsiaTheme="minorEastAsia"/>
          <w:b/>
          <w:sz w:val="21"/>
          <w:szCs w:val="21"/>
        </w:rPr>
      </w:pPr>
      <w:r>
        <w:fldChar w:fldCharType="begin"/>
      </w:r>
      <w:r>
        <w:instrText xml:space="preserve"> HYPERLINK \l "_Toc8222" </w:instrText>
      </w:r>
      <w:r>
        <w:fldChar w:fldCharType="separate"/>
      </w:r>
      <w:r>
        <w:rPr>
          <w:rFonts w:hint="eastAsia" w:asciiTheme="minorEastAsia" w:hAnsiTheme="minorEastAsia" w:eastAsiaTheme="minorEastAsia"/>
          <w:bCs/>
          <w:sz w:val="21"/>
          <w:szCs w:val="21"/>
        </w:rPr>
        <w:t>附录B企业开展安全监督检查内容</w:t>
      </w:r>
      <w:r>
        <w:rPr>
          <w:rFonts w:asciiTheme="minorEastAsia" w:hAnsiTheme="minorEastAsia" w:eastAsiaTheme="minorEastAsia"/>
          <w:bCs/>
          <w:sz w:val="21"/>
          <w:szCs w:val="21"/>
        </w:rPr>
        <w:tab/>
      </w:r>
      <w:r>
        <w:rPr>
          <w:rFonts w:asciiTheme="minorEastAsia" w:hAnsiTheme="minorEastAsia" w:eastAsiaTheme="minorEastAsia"/>
          <w:bCs/>
          <w:sz w:val="21"/>
          <w:szCs w:val="21"/>
        </w:rPr>
        <w:fldChar w:fldCharType="begin"/>
      </w:r>
      <w:r>
        <w:rPr>
          <w:rFonts w:asciiTheme="minorEastAsia" w:hAnsiTheme="minorEastAsia" w:eastAsiaTheme="minorEastAsia"/>
          <w:bCs/>
          <w:sz w:val="21"/>
          <w:szCs w:val="21"/>
        </w:rPr>
        <w:instrText xml:space="preserve"> PAGEREF _Toc8222 \h </w:instrText>
      </w:r>
      <w:r>
        <w:rPr>
          <w:rFonts w:asciiTheme="minorEastAsia" w:hAnsiTheme="minorEastAsia" w:eastAsiaTheme="minorEastAsia"/>
          <w:bCs/>
          <w:sz w:val="21"/>
          <w:szCs w:val="21"/>
        </w:rPr>
        <w:fldChar w:fldCharType="separate"/>
      </w:r>
      <w:r>
        <w:rPr>
          <w:rFonts w:asciiTheme="minorEastAsia" w:hAnsiTheme="minorEastAsia" w:eastAsiaTheme="minorEastAsia"/>
          <w:bCs/>
          <w:sz w:val="21"/>
          <w:szCs w:val="21"/>
        </w:rPr>
        <w:t>1</w:t>
      </w:r>
      <w:r>
        <w:rPr>
          <w:rFonts w:asciiTheme="minorEastAsia" w:hAnsiTheme="minorEastAsia" w:eastAsiaTheme="minorEastAsia"/>
          <w:bCs/>
          <w:sz w:val="21"/>
          <w:szCs w:val="21"/>
        </w:rPr>
        <w:fldChar w:fldCharType="end"/>
      </w:r>
      <w:r>
        <w:rPr>
          <w:rFonts w:asciiTheme="minorEastAsia" w:hAnsiTheme="minorEastAsia" w:eastAsiaTheme="minorEastAsia"/>
          <w:bCs/>
          <w:sz w:val="21"/>
          <w:szCs w:val="21"/>
        </w:rPr>
        <w:fldChar w:fldCharType="end"/>
      </w:r>
      <w:r>
        <w:rPr>
          <w:rFonts w:hint="eastAsia" w:asciiTheme="minorEastAsia" w:hAnsiTheme="minorEastAsia" w:eastAsiaTheme="minorEastAsia"/>
          <w:b/>
          <w:sz w:val="21"/>
          <w:szCs w:val="21"/>
        </w:rPr>
        <w:t>3</w:t>
      </w:r>
    </w:p>
    <w:p>
      <w:pPr>
        <w:pStyle w:val="26"/>
        <w:tabs>
          <w:tab w:val="right" w:leader="dot" w:pos="8312"/>
        </w:tabs>
        <w:spacing w:line="400" w:lineRule="atLeast"/>
        <w:rPr>
          <w:rFonts w:asciiTheme="minorEastAsia" w:hAnsiTheme="minorEastAsia" w:eastAsiaTheme="minorEastAsia"/>
          <w:bCs/>
          <w:sz w:val="21"/>
          <w:szCs w:val="21"/>
        </w:rPr>
      </w:pPr>
      <w:r>
        <w:rPr>
          <w:rFonts w:asciiTheme="minorEastAsia" w:hAnsiTheme="minorEastAsia"/>
          <w:b/>
          <w:szCs w:val="21"/>
        </w:rPr>
        <w:fldChar w:fldCharType="end"/>
      </w:r>
      <w:r>
        <w:fldChar w:fldCharType="begin"/>
      </w:r>
      <w:r>
        <w:instrText xml:space="preserve"> HYPERLINK \l "_Toc9140" </w:instrText>
      </w:r>
      <w:r>
        <w:fldChar w:fldCharType="separate"/>
      </w:r>
      <w:r>
        <w:rPr>
          <w:rFonts w:hint="eastAsia" w:asciiTheme="minorEastAsia" w:hAnsiTheme="minorEastAsia" w:eastAsiaTheme="minorEastAsia"/>
          <w:bCs/>
          <w:sz w:val="21"/>
          <w:szCs w:val="21"/>
        </w:rPr>
        <w:t>本标准用词说明</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18</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"_Toc9140" </w:instrText>
      </w:r>
      <w:r>
        <w:fldChar w:fldCharType="separate"/>
      </w:r>
      <w:r>
        <w:rPr>
          <w:rFonts w:hint="eastAsia" w:asciiTheme="minorEastAsia" w:hAnsiTheme="minorEastAsia" w:eastAsiaTheme="minorEastAsia"/>
          <w:bCs/>
          <w:sz w:val="21"/>
          <w:szCs w:val="21"/>
        </w:rPr>
        <w:t>引用标准名录</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19</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"_Toc9140" </w:instrText>
      </w:r>
      <w:r>
        <w:fldChar w:fldCharType="separate"/>
      </w:r>
      <w:r>
        <w:rPr>
          <w:rFonts w:hint="eastAsia" w:asciiTheme="minorEastAsia" w:hAnsiTheme="minorEastAsia" w:eastAsiaTheme="minorEastAsia"/>
          <w:bCs/>
          <w:sz w:val="21"/>
          <w:szCs w:val="21"/>
        </w:rPr>
        <w:t>附：条文说明</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20</w:t>
      </w:r>
      <w:r>
        <w:rPr>
          <w:rFonts w:hint="eastAsia" w:asciiTheme="minorEastAsia" w:hAnsiTheme="minorEastAsia" w:eastAsiaTheme="minorEastAsia"/>
          <w:bCs/>
          <w:sz w:val="21"/>
          <w:szCs w:val="21"/>
        </w:rPr>
        <w:fldChar w:fldCharType="end"/>
      </w:r>
    </w:p>
    <w:p>
      <w:pPr>
        <w:spacing w:line="400" w:lineRule="atLeast"/>
        <w:rPr>
          <w:rFonts w:cs="Times New Roman" w:asciiTheme="minorEastAsia" w:hAnsiTheme="minorEastAsia"/>
          <w:b/>
          <w:szCs w:val="21"/>
        </w:rPr>
      </w:pPr>
    </w:p>
    <w:p>
      <w:pPr>
        <w:spacing w:line="480" w:lineRule="auto"/>
        <w:jc w:val="center"/>
        <w:rPr>
          <w:rFonts w:ascii="Times New Roman" w:hAnsi="Times New Roman" w:cs="Times New Roman"/>
          <w:b/>
          <w:sz w:val="28"/>
          <w:szCs w:val="28"/>
        </w:rPr>
      </w:pPr>
    </w:p>
    <w:p>
      <w:pPr>
        <w:spacing w:line="480" w:lineRule="auto"/>
        <w:jc w:val="center"/>
        <w:rPr>
          <w:rFonts w:ascii="Times New Roman" w:hAnsi="Times New Roman" w:cs="Times New Roman"/>
          <w:b/>
          <w:sz w:val="28"/>
          <w:szCs w:val="28"/>
        </w:rPr>
      </w:pPr>
    </w:p>
    <w:p>
      <w:pPr>
        <w:spacing w:line="480" w:lineRule="auto"/>
        <w:jc w:val="center"/>
        <w:rPr>
          <w:rFonts w:ascii="Times New Roman" w:hAnsi="Times New Roman" w:cs="Times New Roman"/>
          <w:b/>
          <w:sz w:val="28"/>
          <w:szCs w:val="28"/>
        </w:rPr>
      </w:pPr>
    </w:p>
    <w:p>
      <w:pPr>
        <w:spacing w:line="480" w:lineRule="auto"/>
        <w:jc w:val="center"/>
        <w:rPr>
          <w:rFonts w:ascii="Times New Roman" w:hAnsi="Times New Roman" w:cs="Times New Roman"/>
          <w:b/>
          <w:sz w:val="28"/>
          <w:szCs w:val="28"/>
        </w:rPr>
      </w:pPr>
    </w:p>
    <w:p>
      <w:pPr>
        <w:spacing w:line="480" w:lineRule="auto"/>
        <w:jc w:val="center"/>
        <w:rPr>
          <w:rFonts w:ascii="Times New Roman" w:hAnsi="Times New Roman" w:cs="Times New Roman"/>
          <w:b/>
          <w:sz w:val="28"/>
          <w:szCs w:val="28"/>
        </w:rPr>
      </w:pPr>
    </w:p>
    <w:p>
      <w:pPr>
        <w:spacing w:line="480" w:lineRule="auto"/>
        <w:jc w:val="center"/>
        <w:rPr>
          <w:rFonts w:ascii="Times New Roman" w:hAnsi="Times New Roman" w:cs="Times New Roman"/>
          <w:b/>
          <w:sz w:val="28"/>
          <w:szCs w:val="28"/>
        </w:rPr>
      </w:pPr>
    </w:p>
    <w:p>
      <w:pPr>
        <w:pStyle w:val="7"/>
        <w:tabs>
          <w:tab w:val="right" w:leader="dot" w:pos="8312"/>
        </w:tabs>
        <w:jc w:val="center"/>
        <w:rPr>
          <w:rFonts w:ascii="Times New Roman" w:hAnsi="Times New Roman" w:cs="Times New Roman"/>
          <w:b/>
          <w:sz w:val="44"/>
          <w:szCs w:val="44"/>
        </w:rPr>
        <w:sectPr>
          <w:footerReference r:id="rId12" w:type="default"/>
          <w:pgSz w:w="11906" w:h="16838"/>
          <w:pgMar w:top="1440" w:right="1797" w:bottom="1383" w:left="1797" w:header="851" w:footer="992" w:gutter="0"/>
          <w:pgNumType w:fmt="upperRoman"/>
          <w:cols w:space="425" w:num="1"/>
          <w:docGrid w:type="lines" w:linePitch="312" w:charSpace="0"/>
        </w:sectPr>
      </w:pPr>
    </w:p>
    <w:p>
      <w:pPr>
        <w:pStyle w:val="7"/>
        <w:tabs>
          <w:tab w:val="right" w:leader="dot" w:pos="8312"/>
        </w:tabs>
        <w:jc w:val="center"/>
        <w:rPr>
          <w:rFonts w:ascii="Times New Roman" w:hAnsi="Times New Roman" w:cs="Times New Roman"/>
          <w:b/>
          <w:sz w:val="44"/>
          <w:szCs w:val="44"/>
        </w:rPr>
      </w:pPr>
      <w:r>
        <w:rPr>
          <w:rFonts w:hint="eastAsia" w:ascii="Times New Roman" w:hAnsi="Times New Roman" w:cs="Times New Roman"/>
          <w:b/>
          <w:sz w:val="44"/>
          <w:szCs w:val="44"/>
        </w:rPr>
        <w:t>contents</w:t>
      </w:r>
    </w:p>
    <w:p>
      <w:pPr>
        <w:pStyle w:val="26"/>
        <w:tabs>
          <w:tab w:val="right" w:leader="dot" w:pos="8312"/>
        </w:tabs>
        <w:spacing w:line="400" w:lineRule="atLeast"/>
        <w:rPr>
          <w:bCs/>
          <w:sz w:val="21"/>
          <w:szCs w:val="21"/>
        </w:rPr>
      </w:pPr>
      <w:r>
        <w:rPr>
          <w:b/>
          <w:sz w:val="21"/>
          <w:szCs w:val="21"/>
        </w:rPr>
        <w:fldChar w:fldCharType="begin"/>
      </w:r>
      <w:r>
        <w:rPr>
          <w:b/>
          <w:sz w:val="21"/>
          <w:szCs w:val="21"/>
        </w:rPr>
        <w:instrText xml:space="preserve">TOC \o "1-2" \h \u </w:instrText>
      </w:r>
      <w:r>
        <w:rPr>
          <w:b/>
          <w:sz w:val="21"/>
          <w:szCs w:val="21"/>
        </w:rPr>
        <w:fldChar w:fldCharType="separate"/>
      </w:r>
      <w:r>
        <w:fldChar w:fldCharType="begin"/>
      </w:r>
      <w:r>
        <w:instrText xml:space="preserve"> HYPERLINK \l "_Toc1581" </w:instrText>
      </w:r>
      <w:r>
        <w:fldChar w:fldCharType="separate"/>
      </w:r>
      <w:r>
        <w:rPr>
          <w:bCs/>
          <w:sz w:val="21"/>
          <w:szCs w:val="21"/>
        </w:rPr>
        <w:t xml:space="preserve">Preface </w:t>
      </w:r>
      <w:r>
        <w:rPr>
          <w:bCs/>
          <w:sz w:val="21"/>
          <w:szCs w:val="21"/>
        </w:rPr>
        <w:tab/>
      </w:r>
      <w:r>
        <w:rPr>
          <w:rFonts w:hint="eastAsia"/>
          <w:bCs/>
          <w:sz w:val="21"/>
          <w:szCs w:val="21"/>
        </w:rPr>
        <w:t>Ⅲ、Ⅳ</w:t>
      </w:r>
      <w:r>
        <w:rPr>
          <w:rFonts w:hint="eastAsia"/>
          <w:bCs/>
          <w:sz w:val="21"/>
          <w:szCs w:val="21"/>
        </w:rPr>
        <w:fldChar w:fldCharType="end"/>
      </w:r>
    </w:p>
    <w:p>
      <w:pPr>
        <w:pStyle w:val="26"/>
        <w:tabs>
          <w:tab w:val="right" w:leader="dot" w:pos="8312"/>
        </w:tabs>
        <w:spacing w:line="400" w:lineRule="atLeast"/>
        <w:rPr>
          <w:bCs/>
          <w:sz w:val="21"/>
          <w:szCs w:val="21"/>
        </w:rPr>
      </w:pPr>
      <w:r>
        <w:fldChar w:fldCharType="begin"/>
      </w:r>
      <w:r>
        <w:instrText xml:space="preserve"> HYPERLINK \l "_Toc18435" </w:instrText>
      </w:r>
      <w:r>
        <w:fldChar w:fldCharType="separate"/>
      </w:r>
      <w:r>
        <w:rPr>
          <w:bCs/>
          <w:sz w:val="21"/>
          <w:szCs w:val="21"/>
        </w:rPr>
        <w:t>1  general rules</w:t>
      </w:r>
      <w:r>
        <w:rPr>
          <w:bCs/>
          <w:sz w:val="21"/>
          <w:szCs w:val="21"/>
        </w:rPr>
        <w:tab/>
      </w:r>
      <w:r>
        <w:rPr>
          <w:rFonts w:hint="eastAsia"/>
          <w:bCs/>
          <w:sz w:val="21"/>
          <w:szCs w:val="21"/>
        </w:rPr>
        <w:t>1</w:t>
      </w:r>
      <w:r>
        <w:rPr>
          <w:rFonts w:hint="eastAsia"/>
          <w:bCs/>
          <w:sz w:val="21"/>
          <w:szCs w:val="21"/>
        </w:rPr>
        <w:fldChar w:fldCharType="end"/>
      </w:r>
    </w:p>
    <w:p>
      <w:pPr>
        <w:pStyle w:val="26"/>
        <w:tabs>
          <w:tab w:val="right" w:leader="dot" w:pos="8312"/>
        </w:tabs>
        <w:spacing w:line="400" w:lineRule="atLeast"/>
        <w:rPr>
          <w:bCs/>
          <w:sz w:val="21"/>
          <w:szCs w:val="21"/>
        </w:rPr>
      </w:pPr>
      <w:r>
        <w:fldChar w:fldCharType="begin"/>
      </w:r>
      <w:r>
        <w:instrText xml:space="preserve"> HYPERLINK \l "_Toc29340" </w:instrText>
      </w:r>
      <w:r>
        <w:fldChar w:fldCharType="separate"/>
      </w:r>
      <w:r>
        <w:rPr>
          <w:bCs/>
          <w:sz w:val="21"/>
          <w:szCs w:val="21"/>
        </w:rPr>
        <w:t>2  term</w:t>
      </w:r>
      <w:r>
        <w:rPr>
          <w:bCs/>
          <w:sz w:val="21"/>
          <w:szCs w:val="21"/>
        </w:rPr>
        <w:tab/>
      </w:r>
      <w:r>
        <w:rPr>
          <w:rFonts w:hint="eastAsia"/>
          <w:bCs/>
          <w:sz w:val="21"/>
          <w:szCs w:val="21"/>
        </w:rPr>
        <w:t>2</w:t>
      </w:r>
      <w:r>
        <w:rPr>
          <w:rFonts w:hint="eastAsia"/>
          <w:bCs/>
          <w:sz w:val="21"/>
          <w:szCs w:val="21"/>
        </w:rPr>
        <w:fldChar w:fldCharType="end"/>
      </w:r>
    </w:p>
    <w:p>
      <w:pPr>
        <w:pStyle w:val="26"/>
        <w:tabs>
          <w:tab w:val="right" w:leader="dot" w:pos="8312"/>
        </w:tabs>
        <w:spacing w:line="400" w:lineRule="atLeast"/>
        <w:rPr>
          <w:b/>
          <w:sz w:val="21"/>
          <w:szCs w:val="21"/>
        </w:rPr>
      </w:pPr>
      <w:r>
        <w:fldChar w:fldCharType="begin"/>
      </w:r>
      <w:r>
        <w:instrText xml:space="preserve"> HYPERLINK \l "_Toc359" </w:instrText>
      </w:r>
      <w:r>
        <w:fldChar w:fldCharType="separate"/>
      </w:r>
      <w:r>
        <w:rPr>
          <w:bCs/>
          <w:sz w:val="21"/>
          <w:szCs w:val="21"/>
        </w:rPr>
        <w:t>3  Safety management of automobile gas filling operation enterprises</w:t>
      </w:r>
      <w:r>
        <w:rPr>
          <w:bCs/>
          <w:sz w:val="21"/>
          <w:szCs w:val="21"/>
        </w:rPr>
        <w:tab/>
      </w:r>
      <w:r>
        <w:rPr>
          <w:rFonts w:hint="eastAsia"/>
          <w:bCs/>
          <w:sz w:val="21"/>
          <w:szCs w:val="21"/>
        </w:rPr>
        <w:t>3</w:t>
      </w:r>
      <w:r>
        <w:rPr>
          <w:rFonts w:hint="eastAsia"/>
          <w:bCs/>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"_Toc30904" </w:instrText>
      </w:r>
      <w:r>
        <w:fldChar w:fldCharType="separate"/>
      </w:r>
      <w:r>
        <w:rPr>
          <w:sz w:val="21"/>
          <w:szCs w:val="21"/>
        </w:rPr>
        <w:t xml:space="preserve">3.1 </w:t>
      </w:r>
      <w:r>
        <w:rPr>
          <w:rFonts w:hint="eastAsia"/>
          <w:sz w:val="21"/>
          <w:szCs w:val="21"/>
        </w:rPr>
        <w:t>Safety production objectives and policy management</w:t>
      </w:r>
      <w:r>
        <w:rPr>
          <w:sz w:val="21"/>
          <w:szCs w:val="21"/>
        </w:rPr>
        <w:tab/>
      </w:r>
      <w:r>
        <w:rPr>
          <w:rFonts w:hint="eastAsia"/>
          <w:sz w:val="21"/>
          <w:szCs w:val="21"/>
        </w:rPr>
        <w:t>3</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"_Toc10712" </w:instrText>
      </w:r>
      <w:r>
        <w:fldChar w:fldCharType="separate"/>
      </w:r>
      <w:r>
        <w:rPr>
          <w:sz w:val="21"/>
          <w:szCs w:val="21"/>
        </w:rPr>
        <w:t xml:space="preserve">3.2 </w:t>
      </w:r>
      <w:r>
        <w:rPr>
          <w:rFonts w:hint="eastAsia"/>
          <w:sz w:val="21"/>
          <w:szCs w:val="21"/>
        </w:rPr>
        <w:t>Work safety management agency</w:t>
      </w:r>
      <w:r>
        <w:rPr>
          <w:sz w:val="21"/>
          <w:szCs w:val="21"/>
        </w:rPr>
        <w:tab/>
      </w:r>
      <w:r>
        <w:rPr>
          <w:rFonts w:hint="eastAsia"/>
          <w:sz w:val="21"/>
          <w:szCs w:val="21"/>
        </w:rPr>
        <w:t>3</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"_Toc3178" </w:instrText>
      </w:r>
      <w:r>
        <w:fldChar w:fldCharType="separate"/>
      </w:r>
      <w:r>
        <w:rPr>
          <w:rFonts w:hint="eastAsia"/>
          <w:sz w:val="21"/>
          <w:szCs w:val="21"/>
        </w:rPr>
        <w:t>3.3 Requirements for staffing</w:t>
      </w:r>
      <w:r>
        <w:rPr>
          <w:sz w:val="21"/>
          <w:szCs w:val="21"/>
        </w:rPr>
        <w:tab/>
      </w:r>
      <w:r>
        <w:rPr>
          <w:rFonts w:hint="eastAsia"/>
          <w:sz w:val="21"/>
          <w:szCs w:val="21"/>
        </w:rPr>
        <w:t>3</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"_Toc4434" </w:instrText>
      </w:r>
      <w:r>
        <w:fldChar w:fldCharType="separate"/>
      </w:r>
      <w:r>
        <w:rPr>
          <w:rFonts w:hint="eastAsia" w:hAnsiTheme="minorEastAsia"/>
          <w:sz w:val="21"/>
          <w:szCs w:val="21"/>
        </w:rPr>
        <w:t>3.4 Responsibility for production safety</w:t>
      </w:r>
      <w:r>
        <w:rPr>
          <w:sz w:val="21"/>
          <w:szCs w:val="21"/>
        </w:rPr>
        <w:tab/>
      </w:r>
      <w:r>
        <w:rPr>
          <w:rFonts w:hint="eastAsia"/>
          <w:sz w:val="21"/>
          <w:szCs w:val="21"/>
        </w:rPr>
        <w:t>3</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"_Toc4466" </w:instrText>
      </w:r>
      <w:r>
        <w:fldChar w:fldCharType="separate"/>
      </w:r>
      <w:r>
        <w:rPr>
          <w:rFonts w:hint="eastAsia" w:hAnsiTheme="minorEastAsia"/>
          <w:sz w:val="21"/>
          <w:szCs w:val="21"/>
        </w:rPr>
        <w:t>3.5 Investment in production safety</w:t>
      </w:r>
      <w:r>
        <w:rPr>
          <w:sz w:val="21"/>
          <w:szCs w:val="21"/>
        </w:rPr>
        <w:tab/>
      </w:r>
      <w:r>
        <w:rPr>
          <w:rFonts w:hint="eastAsia"/>
          <w:sz w:val="21"/>
          <w:szCs w:val="21"/>
        </w:rPr>
        <w:t>4</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"_Toc26235" </w:instrText>
      </w:r>
      <w:r>
        <w:fldChar w:fldCharType="separate"/>
      </w:r>
      <w:r>
        <w:rPr>
          <w:rFonts w:hint="eastAsia"/>
          <w:sz w:val="21"/>
          <w:szCs w:val="21"/>
        </w:rPr>
        <w:t>3.6 Safety culture and standardization construction</w:t>
      </w:r>
      <w:r>
        <w:rPr>
          <w:sz w:val="21"/>
          <w:szCs w:val="21"/>
        </w:rPr>
        <w:tab/>
      </w:r>
      <w:r>
        <w:rPr>
          <w:rFonts w:hint="eastAsia"/>
          <w:sz w:val="21"/>
          <w:szCs w:val="21"/>
        </w:rPr>
        <w:t>4</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"_Toc8533" </w:instrText>
      </w:r>
      <w:r>
        <w:fldChar w:fldCharType="separate"/>
      </w:r>
      <w:r>
        <w:rPr>
          <w:rFonts w:hint="eastAsia"/>
          <w:sz w:val="21"/>
          <w:szCs w:val="21"/>
        </w:rPr>
        <w:t>3.7 Production safety information construction</w:t>
      </w:r>
      <w:r>
        <w:rPr>
          <w:sz w:val="21"/>
          <w:szCs w:val="21"/>
        </w:rPr>
        <w:tab/>
      </w:r>
      <w:r>
        <w:rPr>
          <w:rFonts w:hint="eastAsia"/>
          <w:sz w:val="21"/>
          <w:szCs w:val="21"/>
        </w:rPr>
        <w:t>4</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"_Toc21592" </w:instrText>
      </w:r>
      <w:r>
        <w:fldChar w:fldCharType="separate"/>
      </w:r>
      <w:r>
        <w:rPr>
          <w:rFonts w:hint="eastAsia"/>
          <w:sz w:val="21"/>
          <w:szCs w:val="21"/>
        </w:rPr>
        <w:t>3.8 Safety management system and safety operation procedures</w:t>
      </w:r>
      <w:r>
        <w:rPr>
          <w:sz w:val="21"/>
          <w:szCs w:val="21"/>
        </w:rPr>
        <w:tab/>
      </w:r>
      <w:r>
        <w:rPr>
          <w:rFonts w:hint="eastAsia"/>
          <w:sz w:val="21"/>
          <w:szCs w:val="21"/>
        </w:rPr>
        <w:t>4</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"_Toc7249" </w:instrText>
      </w:r>
      <w:r>
        <w:fldChar w:fldCharType="separate"/>
      </w:r>
      <w:r>
        <w:rPr>
          <w:rFonts w:hint="eastAsia" w:hAnsiTheme="minorEastAsia"/>
          <w:sz w:val="21"/>
          <w:szCs w:val="21"/>
        </w:rPr>
        <w:t>3.9 Safety education and training</w:t>
      </w:r>
      <w:r>
        <w:rPr>
          <w:sz w:val="21"/>
          <w:szCs w:val="21"/>
        </w:rPr>
        <w:tab/>
      </w:r>
      <w:r>
        <w:rPr>
          <w:rFonts w:hint="eastAsia"/>
          <w:sz w:val="21"/>
          <w:szCs w:val="21"/>
        </w:rPr>
        <w:t>4</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"_Toc15949" </w:instrText>
      </w:r>
      <w:r>
        <w:fldChar w:fldCharType="separate"/>
      </w:r>
      <w:r>
        <w:rPr>
          <w:rFonts w:hint="eastAsia"/>
          <w:sz w:val="21"/>
          <w:szCs w:val="21"/>
        </w:rPr>
        <w:t>3.10 Emergency rescue and accident management</w:t>
      </w:r>
      <w:r>
        <w:rPr>
          <w:sz w:val="21"/>
          <w:szCs w:val="21"/>
        </w:rPr>
        <w:tab/>
      </w:r>
      <w:r>
        <w:rPr>
          <w:rFonts w:hint="eastAsia"/>
          <w:sz w:val="21"/>
          <w:szCs w:val="21"/>
        </w:rPr>
        <w:t>5</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"_Toc21455" </w:instrText>
      </w:r>
      <w:r>
        <w:fldChar w:fldCharType="separate"/>
      </w:r>
      <w:r>
        <w:rPr>
          <w:rFonts w:hint="eastAsia"/>
          <w:sz w:val="21"/>
          <w:szCs w:val="21"/>
        </w:rPr>
        <w:t xml:space="preserve">3.11 </w:t>
      </w:r>
      <w:r>
        <w:rPr>
          <w:rFonts w:hint="eastAsia" w:hAnsiTheme="minorEastAsia"/>
          <w:sz w:val="21"/>
          <w:szCs w:val="21"/>
        </w:rPr>
        <w:t>Safety inspection and hidden trouble rectification</w:t>
      </w:r>
      <w:r>
        <w:rPr>
          <w:sz w:val="21"/>
          <w:szCs w:val="21"/>
        </w:rPr>
        <w:tab/>
      </w:r>
      <w:r>
        <w:rPr>
          <w:rFonts w:hint="eastAsia"/>
          <w:sz w:val="21"/>
          <w:szCs w:val="21"/>
        </w:rPr>
        <w:t>6</w:t>
      </w:r>
      <w:r>
        <w:rPr>
          <w:rFonts w:hint="eastAsia"/>
          <w:sz w:val="21"/>
          <w:szCs w:val="21"/>
        </w:rPr>
        <w:fldChar w:fldCharType="end"/>
      </w:r>
    </w:p>
    <w:p>
      <w:pPr>
        <w:pStyle w:val="26"/>
        <w:tabs>
          <w:tab w:val="right" w:leader="dot" w:pos="8312"/>
        </w:tabs>
        <w:spacing w:line="400" w:lineRule="atLeast"/>
        <w:rPr>
          <w:bCs/>
          <w:sz w:val="21"/>
          <w:szCs w:val="21"/>
        </w:rPr>
      </w:pPr>
      <w:r>
        <w:fldChar w:fldCharType="begin"/>
      </w:r>
      <w:r>
        <w:instrText xml:space="preserve"> HYPERLINK \l "_Toc9559" </w:instrText>
      </w:r>
      <w:r>
        <w:fldChar w:fldCharType="separate"/>
      </w:r>
      <w:r>
        <w:rPr>
          <w:rFonts w:hint="eastAsia"/>
          <w:bCs/>
          <w:sz w:val="21"/>
          <w:szCs w:val="21"/>
        </w:rPr>
        <w:t>4 Safety management of LNG and compressed natural gas vehicle filling stations</w:t>
      </w:r>
      <w:r>
        <w:rPr>
          <w:bCs/>
          <w:sz w:val="21"/>
          <w:szCs w:val="21"/>
        </w:rPr>
        <w:tab/>
      </w:r>
      <w:r>
        <w:rPr>
          <w:rFonts w:hint="eastAsia"/>
          <w:bCs/>
          <w:sz w:val="21"/>
          <w:szCs w:val="21"/>
        </w:rPr>
        <w:t>6</w:t>
      </w:r>
      <w:r>
        <w:rPr>
          <w:rFonts w:hint="eastAsia"/>
          <w:bCs/>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"_Toc11590" </w:instrText>
      </w:r>
      <w:r>
        <w:fldChar w:fldCharType="separate"/>
      </w:r>
      <w:r>
        <w:rPr>
          <w:rFonts w:hint="eastAsia"/>
          <w:sz w:val="21"/>
          <w:szCs w:val="21"/>
        </w:rPr>
        <w:t>4.1 Basic management of safety production</w:t>
      </w:r>
      <w:r>
        <w:rPr>
          <w:sz w:val="21"/>
          <w:szCs w:val="21"/>
        </w:rPr>
        <w:tab/>
      </w:r>
      <w:r>
        <w:rPr>
          <w:rFonts w:hint="eastAsia"/>
          <w:sz w:val="21"/>
          <w:szCs w:val="21"/>
        </w:rPr>
        <w:t>6</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"_Toc18382" </w:instrText>
      </w:r>
      <w:r>
        <w:fldChar w:fldCharType="separate"/>
      </w:r>
      <w:r>
        <w:rPr>
          <w:rFonts w:hint="eastAsia"/>
          <w:bCs/>
          <w:sz w:val="21"/>
          <w:szCs w:val="21"/>
        </w:rPr>
        <w:t>4.2 Site safety management</w:t>
      </w:r>
      <w:r>
        <w:rPr>
          <w:sz w:val="21"/>
          <w:szCs w:val="21"/>
        </w:rPr>
        <w:tab/>
      </w:r>
      <w:r>
        <w:rPr>
          <w:rFonts w:hint="eastAsia"/>
          <w:sz w:val="21"/>
          <w:szCs w:val="21"/>
        </w:rPr>
        <w:t>7</w:t>
      </w:r>
      <w:r>
        <w:rPr>
          <w:rFonts w:hint="eastAsia"/>
          <w:sz w:val="21"/>
          <w:szCs w:val="21"/>
        </w:rPr>
        <w:fldChar w:fldCharType="end"/>
      </w:r>
    </w:p>
    <w:p>
      <w:pPr>
        <w:pStyle w:val="26"/>
        <w:tabs>
          <w:tab w:val="right" w:leader="dot" w:pos="8312"/>
        </w:tabs>
        <w:spacing w:line="400" w:lineRule="atLeast"/>
        <w:rPr>
          <w:bCs/>
          <w:sz w:val="21"/>
          <w:szCs w:val="21"/>
        </w:rPr>
      </w:pPr>
      <w:r>
        <w:fldChar w:fldCharType="begin"/>
      </w:r>
      <w:r>
        <w:instrText xml:space="preserve"> HYPERLINK \l "_Toc8222" </w:instrText>
      </w:r>
      <w:r>
        <w:fldChar w:fldCharType="separate"/>
      </w:r>
      <w:r>
        <w:rPr>
          <w:rFonts w:hint="eastAsia"/>
          <w:bCs/>
          <w:sz w:val="21"/>
          <w:szCs w:val="21"/>
        </w:rPr>
        <w:t>Appendix A</w:t>
      </w:r>
      <w:r>
        <w:rPr>
          <w:bCs/>
          <w:sz w:val="21"/>
          <w:szCs w:val="21"/>
        </w:rPr>
        <w:t xml:space="preserve">: </w:t>
      </w:r>
      <w:r>
        <w:rPr>
          <w:rFonts w:hint="eastAsia"/>
          <w:bCs/>
          <w:sz w:val="21"/>
          <w:szCs w:val="21"/>
        </w:rPr>
        <w:t>Safety supervision and inspection contents carried out by the government gas management department</w:t>
      </w:r>
      <w:r>
        <w:rPr>
          <w:bCs/>
          <w:sz w:val="21"/>
          <w:szCs w:val="21"/>
        </w:rPr>
        <w:tab/>
      </w:r>
      <w:r>
        <w:rPr>
          <w:rFonts w:hint="eastAsia"/>
          <w:bCs/>
          <w:sz w:val="21"/>
          <w:szCs w:val="21"/>
        </w:rPr>
        <w:t>9</w:t>
      </w:r>
      <w:r>
        <w:rPr>
          <w:rFonts w:hint="eastAsia"/>
          <w:bCs/>
          <w:sz w:val="21"/>
          <w:szCs w:val="21"/>
        </w:rPr>
        <w:fldChar w:fldCharType="end"/>
      </w:r>
    </w:p>
    <w:p>
      <w:pPr>
        <w:pStyle w:val="26"/>
        <w:tabs>
          <w:tab w:val="right" w:leader="dot" w:pos="8312"/>
        </w:tabs>
        <w:spacing w:line="400" w:lineRule="atLeast"/>
        <w:rPr>
          <w:b/>
          <w:sz w:val="21"/>
          <w:szCs w:val="21"/>
        </w:rPr>
      </w:pPr>
      <w:r>
        <w:fldChar w:fldCharType="begin"/>
      </w:r>
      <w:r>
        <w:instrText xml:space="preserve"> HYPERLINK \l "_Toc8222" </w:instrText>
      </w:r>
      <w:r>
        <w:fldChar w:fldCharType="separate"/>
      </w:r>
      <w:r>
        <w:rPr>
          <w:rFonts w:hint="eastAsia"/>
          <w:bCs/>
          <w:sz w:val="21"/>
          <w:szCs w:val="21"/>
        </w:rPr>
        <w:t>Appendix B</w:t>
      </w:r>
      <w:r>
        <w:rPr>
          <w:bCs/>
          <w:sz w:val="21"/>
          <w:szCs w:val="21"/>
        </w:rPr>
        <w:t xml:space="preserve">: </w:t>
      </w:r>
      <w:r>
        <w:rPr>
          <w:rFonts w:hint="eastAsia"/>
          <w:bCs/>
          <w:sz w:val="21"/>
          <w:szCs w:val="21"/>
        </w:rPr>
        <w:t>safety supervision and inspection</w:t>
      </w:r>
      <w:r>
        <w:rPr>
          <w:bCs/>
          <w:sz w:val="21"/>
          <w:szCs w:val="21"/>
        </w:rPr>
        <w:tab/>
      </w:r>
      <w:r>
        <w:rPr>
          <w:bCs/>
          <w:sz w:val="21"/>
          <w:szCs w:val="21"/>
        </w:rPr>
        <w:fldChar w:fldCharType="begin"/>
      </w:r>
      <w:r>
        <w:rPr>
          <w:bCs/>
          <w:sz w:val="21"/>
          <w:szCs w:val="21"/>
        </w:rPr>
        <w:instrText xml:space="preserve"> PAGEREF _Toc8222 \h </w:instrText>
      </w:r>
      <w:r>
        <w:rPr>
          <w:bCs/>
          <w:sz w:val="21"/>
          <w:szCs w:val="21"/>
        </w:rPr>
        <w:fldChar w:fldCharType="separate"/>
      </w:r>
      <w:r>
        <w:rPr>
          <w:bCs/>
          <w:sz w:val="21"/>
          <w:szCs w:val="21"/>
        </w:rPr>
        <w:t>1</w:t>
      </w:r>
      <w:r>
        <w:rPr>
          <w:bCs/>
          <w:sz w:val="21"/>
          <w:szCs w:val="21"/>
        </w:rPr>
        <w:fldChar w:fldCharType="end"/>
      </w:r>
      <w:r>
        <w:rPr>
          <w:bCs/>
          <w:sz w:val="21"/>
          <w:szCs w:val="21"/>
        </w:rPr>
        <w:fldChar w:fldCharType="end"/>
      </w:r>
      <w:r>
        <w:rPr>
          <w:rFonts w:hint="eastAsia"/>
          <w:b/>
          <w:sz w:val="21"/>
          <w:szCs w:val="21"/>
        </w:rPr>
        <w:t>3</w:t>
      </w:r>
    </w:p>
    <w:p>
      <w:pPr>
        <w:pStyle w:val="26"/>
        <w:tabs>
          <w:tab w:val="right" w:leader="dot" w:pos="8312"/>
        </w:tabs>
        <w:spacing w:line="400" w:lineRule="atLeast"/>
        <w:rPr>
          <w:sz w:val="21"/>
          <w:szCs w:val="21"/>
        </w:rPr>
      </w:pPr>
      <w:r>
        <w:rPr>
          <w:b/>
          <w:szCs w:val="21"/>
        </w:rPr>
        <w:fldChar w:fldCharType="end"/>
      </w:r>
      <w:r>
        <w:fldChar w:fldCharType="begin"/>
      </w:r>
      <w:r>
        <w:instrText xml:space="preserve"> HYPERLINK \l "_Toc17551" </w:instrText>
      </w:r>
      <w:r>
        <w:fldChar w:fldCharType="separate"/>
      </w:r>
      <w:r>
        <w:rPr>
          <w:rFonts w:hint="eastAsia"/>
          <w:szCs w:val="21"/>
        </w:rPr>
        <w:t>I</w:t>
      </w:r>
      <w:r>
        <w:rPr>
          <w:szCs w:val="21"/>
        </w:rPr>
        <w:t>ption of terms used in this standard</w:t>
      </w:r>
      <w:r>
        <w:rPr>
          <w:sz w:val="21"/>
          <w:szCs w:val="21"/>
        </w:rPr>
        <w:tab/>
      </w:r>
      <w:r>
        <w:rPr>
          <w:rFonts w:hint="eastAsia"/>
          <w:sz w:val="21"/>
          <w:szCs w:val="21"/>
        </w:rPr>
        <w:t>18</w:t>
      </w:r>
      <w:r>
        <w:rPr>
          <w:rFonts w:hint="eastAsia"/>
          <w:sz w:val="21"/>
          <w:szCs w:val="21"/>
        </w:rPr>
        <w:fldChar w:fldCharType="end"/>
      </w:r>
    </w:p>
    <w:p>
      <w:pPr>
        <w:pStyle w:val="26"/>
        <w:tabs>
          <w:tab w:val="right" w:leader="dot" w:pos="8312"/>
        </w:tabs>
        <w:spacing w:line="400" w:lineRule="atLeast"/>
        <w:rPr>
          <w:sz w:val="21"/>
          <w:szCs w:val="21"/>
        </w:rPr>
      </w:pPr>
      <w:r>
        <w:fldChar w:fldCharType="begin"/>
      </w:r>
      <w:r>
        <w:instrText xml:space="preserve"> HYPERLINK \l "_Toc17551" </w:instrText>
      </w:r>
      <w:r>
        <w:fldChar w:fldCharType="separate"/>
      </w:r>
      <w:r>
        <w:rPr>
          <w:szCs w:val="21"/>
        </w:rPr>
        <w:t>List of Quoted Standards</w:t>
      </w:r>
      <w:r>
        <w:rPr>
          <w:sz w:val="21"/>
          <w:szCs w:val="21"/>
        </w:rPr>
        <w:tab/>
      </w:r>
      <w:r>
        <w:rPr>
          <w:rFonts w:hint="eastAsia"/>
          <w:sz w:val="21"/>
          <w:szCs w:val="21"/>
        </w:rPr>
        <w:t>19</w:t>
      </w:r>
      <w:r>
        <w:rPr>
          <w:rFonts w:hint="eastAsia"/>
          <w:sz w:val="21"/>
          <w:szCs w:val="21"/>
        </w:rPr>
        <w:fldChar w:fldCharType="end"/>
      </w:r>
    </w:p>
    <w:p>
      <w:pPr>
        <w:pStyle w:val="26"/>
        <w:tabs>
          <w:tab w:val="right" w:leader="dot" w:pos="8312"/>
        </w:tabs>
        <w:spacing w:line="400" w:lineRule="atLeast"/>
        <w:rPr>
          <w:sz w:val="21"/>
          <w:szCs w:val="21"/>
        </w:rPr>
      </w:pPr>
      <w:r>
        <w:fldChar w:fldCharType="begin"/>
      </w:r>
      <w:r>
        <w:instrText xml:space="preserve"> HYPERLINK \l "_Toc17551" </w:instrText>
      </w:r>
      <w:r>
        <w:fldChar w:fldCharType="separate"/>
      </w:r>
      <w:r>
        <w:rPr>
          <w:szCs w:val="21"/>
        </w:rPr>
        <w:t>Additoion:Explanation of Provisions</w:t>
      </w:r>
      <w:r>
        <w:rPr>
          <w:sz w:val="21"/>
          <w:szCs w:val="21"/>
        </w:rPr>
        <w:tab/>
      </w:r>
      <w:r>
        <w:rPr>
          <w:rFonts w:hint="eastAsia"/>
          <w:sz w:val="21"/>
          <w:szCs w:val="21"/>
        </w:rPr>
        <w:t>20</w:t>
      </w:r>
      <w:r>
        <w:rPr>
          <w:rFonts w:hint="eastAsia"/>
          <w:sz w:val="21"/>
          <w:szCs w:val="21"/>
        </w:rPr>
        <w:fldChar w:fldCharType="end"/>
      </w:r>
    </w:p>
    <w:p>
      <w:pPr>
        <w:spacing w:line="400" w:lineRule="atLeast"/>
        <w:rPr>
          <w:rFonts w:ascii="Times New Roman" w:hAnsi="Times New Roman" w:cs="Times New Roman"/>
          <w:b/>
          <w:szCs w:val="21"/>
        </w:rPr>
      </w:pPr>
    </w:p>
    <w:p>
      <w:pPr>
        <w:spacing w:line="400" w:lineRule="atLeast"/>
        <w:jc w:val="center"/>
        <w:rPr>
          <w:rFonts w:ascii="Times New Roman" w:hAnsi="Times New Roman" w:cs="Times New Roman"/>
          <w:b/>
          <w:szCs w:val="21"/>
        </w:rPr>
      </w:pPr>
    </w:p>
    <w:p>
      <w:pPr>
        <w:spacing w:line="400" w:lineRule="atLeast"/>
        <w:jc w:val="center"/>
        <w:rPr>
          <w:rFonts w:ascii="Times New Roman" w:hAnsi="Times New Roman" w:cs="Times New Roman"/>
          <w:b/>
          <w:szCs w:val="21"/>
        </w:rPr>
      </w:pPr>
    </w:p>
    <w:p>
      <w:pPr>
        <w:spacing w:line="400" w:lineRule="atLeast"/>
        <w:jc w:val="center"/>
        <w:rPr>
          <w:rFonts w:ascii="Times New Roman" w:hAnsi="Times New Roman" w:cs="Times New Roman"/>
          <w:b/>
          <w:szCs w:val="21"/>
        </w:rPr>
      </w:pPr>
    </w:p>
    <w:p>
      <w:pPr>
        <w:spacing w:line="400" w:lineRule="atLeast"/>
        <w:jc w:val="center"/>
        <w:rPr>
          <w:rFonts w:ascii="Times New Roman" w:hAnsi="Times New Roman" w:cs="Times New Roman"/>
          <w:b/>
          <w:szCs w:val="21"/>
        </w:rPr>
      </w:pPr>
    </w:p>
    <w:p>
      <w:pPr>
        <w:spacing w:line="400" w:lineRule="atLeast"/>
        <w:jc w:val="center"/>
        <w:rPr>
          <w:rFonts w:ascii="Times New Roman" w:hAnsi="Times New Roman" w:cs="Times New Roman"/>
          <w:b/>
          <w:szCs w:val="21"/>
        </w:rPr>
      </w:pPr>
    </w:p>
    <w:p>
      <w:pPr>
        <w:spacing w:line="480" w:lineRule="auto"/>
        <w:jc w:val="center"/>
        <w:rPr>
          <w:rFonts w:ascii="Times New Roman" w:hAnsi="Times New Roman" w:cs="Times New Roman"/>
          <w:b/>
          <w:szCs w:val="28"/>
        </w:rPr>
      </w:pPr>
    </w:p>
    <w:p>
      <w:pPr>
        <w:spacing w:line="480" w:lineRule="auto"/>
        <w:jc w:val="center"/>
        <w:rPr>
          <w:rFonts w:ascii="Times New Roman" w:hAnsi="Times New Roman" w:cs="Times New Roman"/>
          <w:b/>
          <w:szCs w:val="28"/>
        </w:rPr>
      </w:pPr>
    </w:p>
    <w:p>
      <w:pPr>
        <w:spacing w:line="480" w:lineRule="auto"/>
        <w:jc w:val="center"/>
        <w:outlineLvl w:val="0"/>
        <w:rPr>
          <w:rFonts w:cs="Times New Roman" w:asciiTheme="majorEastAsia" w:hAnsiTheme="majorEastAsia" w:eastAsiaTheme="majorEastAsia"/>
          <w:b/>
          <w:sz w:val="28"/>
          <w:szCs w:val="28"/>
        </w:rPr>
        <w:sectPr>
          <w:footerReference r:id="rId13" w:type="default"/>
          <w:pgSz w:w="11906" w:h="16838"/>
          <w:pgMar w:top="1440" w:right="1797" w:bottom="1383" w:left="1797" w:header="851" w:footer="992" w:gutter="0"/>
          <w:pgNumType w:fmt="upperRoman"/>
          <w:cols w:space="425" w:num="1"/>
          <w:docGrid w:type="lines" w:linePitch="312" w:charSpace="0"/>
        </w:sectPr>
      </w:pPr>
      <w:bookmarkStart w:id="4" w:name="_Toc18435"/>
      <w:bookmarkStart w:id="5" w:name="_Toc19801"/>
    </w:p>
    <w:p>
      <w:pPr>
        <w:spacing w:line="480" w:lineRule="auto"/>
        <w:jc w:val="center"/>
        <w:outlineLvl w:val="0"/>
        <w:rPr>
          <w:rFonts w:cs="Times New Roman" w:asciiTheme="majorEastAsia" w:hAnsiTheme="majorEastAsia" w:eastAsiaTheme="majorEastAsia"/>
          <w:b/>
          <w:sz w:val="28"/>
          <w:szCs w:val="28"/>
        </w:rPr>
      </w:pPr>
      <w:r>
        <w:rPr>
          <w:rFonts w:cs="Times New Roman" w:asciiTheme="majorEastAsia" w:hAnsiTheme="majorEastAsia" w:eastAsiaTheme="majorEastAsia"/>
          <w:b/>
          <w:sz w:val="28"/>
          <w:szCs w:val="28"/>
        </w:rPr>
        <w:t>1  总则</w:t>
      </w:r>
      <w:bookmarkEnd w:id="4"/>
      <w:bookmarkEnd w:id="5"/>
    </w:p>
    <w:p>
      <w:pPr>
        <w:spacing w:line="400" w:lineRule="atLeast"/>
        <w:ind w:firstLine="480" w:firstLineChars="200"/>
        <w:rPr>
          <w:rFonts w:asciiTheme="minorEastAsia" w:hAnsiTheme="minorEastAsia"/>
          <w:sz w:val="24"/>
          <w:szCs w:val="24"/>
        </w:rPr>
      </w:pPr>
      <w:r>
        <w:rPr>
          <w:rFonts w:hint="eastAsia" w:cs="Times New Roman" w:asciiTheme="minorEastAsia" w:hAnsiTheme="minorEastAsia"/>
          <w:sz w:val="24"/>
          <w:szCs w:val="24"/>
        </w:rPr>
        <w:t>1.0.1为了规范汽车加气</w:t>
      </w:r>
      <w:r>
        <w:rPr>
          <w:rFonts w:cs="Times New Roman" w:asciiTheme="minorEastAsia" w:hAnsiTheme="minorEastAsia"/>
          <w:sz w:val="24"/>
          <w:szCs w:val="24"/>
        </w:rPr>
        <w:t>运营企业的</w:t>
      </w:r>
      <w:r>
        <w:rPr>
          <w:rFonts w:hint="eastAsia" w:asciiTheme="minorEastAsia" w:hAnsiTheme="minorEastAsia"/>
          <w:sz w:val="24"/>
          <w:szCs w:val="24"/>
        </w:rPr>
        <w:t>工作原则、过程和管理要求，防止因企业在运营过程中安全管理因素造成的人身伤害和财产损失，制定本标准。</w:t>
      </w:r>
    </w:p>
    <w:p>
      <w:pPr>
        <w:spacing w:line="400" w:lineRule="atLeast"/>
        <w:ind w:firstLine="480" w:firstLineChars="200"/>
        <w:outlineLvl w:val="0"/>
        <w:rPr>
          <w:rFonts w:asciiTheme="minorEastAsia" w:hAnsiTheme="minorEastAsia"/>
          <w:sz w:val="24"/>
          <w:szCs w:val="24"/>
        </w:rPr>
      </w:pPr>
      <w:bookmarkStart w:id="6" w:name="_Toc15486"/>
      <w:bookmarkStart w:id="7" w:name="_Toc94"/>
      <w:bookmarkStart w:id="8" w:name="_Toc18633"/>
      <w:bookmarkStart w:id="9" w:name="_Toc18837"/>
      <w:r>
        <w:rPr>
          <w:rFonts w:cs="Times New Roman" w:asciiTheme="minorEastAsia" w:hAnsiTheme="minorEastAsia"/>
          <w:sz w:val="24"/>
          <w:szCs w:val="24"/>
        </w:rPr>
        <w:t>1.0.2</w:t>
      </w:r>
      <w:r>
        <w:rPr>
          <w:rFonts w:hint="eastAsia" w:asciiTheme="minorEastAsia" w:hAnsiTheme="minorEastAsia"/>
          <w:sz w:val="24"/>
          <w:szCs w:val="24"/>
        </w:rPr>
        <w:t>本标准适用于云南省范围内的汽车加气运营企业。</w:t>
      </w:r>
      <w:bookmarkEnd w:id="6"/>
      <w:bookmarkEnd w:id="7"/>
      <w:bookmarkEnd w:id="8"/>
      <w:bookmarkEnd w:id="9"/>
    </w:p>
    <w:p>
      <w:pPr>
        <w:spacing w:line="400" w:lineRule="atLeast"/>
        <w:ind w:firstLine="480" w:firstLineChars="200"/>
        <w:rPr>
          <w:rFonts w:asciiTheme="minorEastAsia" w:hAnsiTheme="minorEastAsia"/>
          <w:sz w:val="24"/>
          <w:szCs w:val="24"/>
        </w:rPr>
      </w:pPr>
      <w:r>
        <w:rPr>
          <w:rFonts w:hint="eastAsia" w:cs="Times New Roman" w:asciiTheme="minorEastAsia" w:hAnsiTheme="minorEastAsia"/>
          <w:sz w:val="24"/>
          <w:szCs w:val="24"/>
        </w:rPr>
        <w:t>1.0.3汽车加气</w:t>
      </w:r>
      <w:r>
        <w:rPr>
          <w:rFonts w:cs="Times New Roman" w:asciiTheme="minorEastAsia" w:hAnsiTheme="minorEastAsia"/>
          <w:sz w:val="24"/>
          <w:szCs w:val="24"/>
        </w:rPr>
        <w:t>运营企业的</w:t>
      </w:r>
      <w:r>
        <w:rPr>
          <w:rFonts w:hint="eastAsia" w:asciiTheme="minorEastAsia" w:hAnsiTheme="minorEastAsia"/>
          <w:sz w:val="24"/>
          <w:szCs w:val="24"/>
        </w:rPr>
        <w:t>工作原则、过程和管理要求，除应符合本标准的规定外，尚应符合国家现行有关标准的规定。</w:t>
      </w: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rPr>
          <w:rFonts w:asciiTheme="minorEastAsia" w:hAnsiTheme="minorEastAsia"/>
          <w:szCs w:val="21"/>
        </w:rPr>
      </w:pPr>
    </w:p>
    <w:p>
      <w:pPr>
        <w:spacing w:line="440" w:lineRule="exact"/>
        <w:rPr>
          <w:rFonts w:asciiTheme="minorEastAsia" w:hAnsiTheme="minorEastAsia"/>
          <w:szCs w:val="21"/>
        </w:rPr>
      </w:pPr>
    </w:p>
    <w:p>
      <w:pPr>
        <w:spacing w:line="440" w:lineRule="exact"/>
        <w:rPr>
          <w:rFonts w:asciiTheme="minorEastAsia" w:hAnsiTheme="minorEastAsia"/>
          <w:szCs w:val="21"/>
        </w:rPr>
      </w:pPr>
    </w:p>
    <w:p>
      <w:pPr>
        <w:spacing w:line="440" w:lineRule="exact"/>
        <w:rPr>
          <w:rFonts w:asciiTheme="minorEastAsia" w:hAnsiTheme="minorEastAsia"/>
          <w:szCs w:val="21"/>
        </w:rPr>
      </w:pPr>
    </w:p>
    <w:p>
      <w:pPr>
        <w:spacing w:line="480" w:lineRule="auto"/>
        <w:jc w:val="center"/>
        <w:rPr>
          <w:rFonts w:cs="Times New Roman" w:asciiTheme="minorEastAsia" w:hAnsiTheme="minorEastAsia"/>
          <w:b/>
          <w:sz w:val="28"/>
          <w:szCs w:val="28"/>
        </w:rPr>
      </w:pPr>
      <w:r>
        <w:rPr>
          <w:rFonts w:cs="Times New Roman" w:asciiTheme="minorEastAsia" w:hAnsiTheme="minorEastAsia"/>
          <w:b/>
          <w:sz w:val="28"/>
          <w:szCs w:val="28"/>
        </w:rPr>
        <w:t>2  术语</w:t>
      </w:r>
    </w:p>
    <w:p>
      <w:pPr>
        <w:spacing w:line="400" w:lineRule="atLeast"/>
        <w:outlineLvl w:val="0"/>
        <w:rPr>
          <w:rFonts w:cs="Times New Roman" w:asciiTheme="minorEastAsia" w:hAnsiTheme="minorEastAsia"/>
          <w:sz w:val="24"/>
          <w:szCs w:val="24"/>
        </w:rPr>
      </w:pPr>
      <w:bookmarkStart w:id="10" w:name="_Toc29340"/>
      <w:r>
        <w:rPr>
          <w:rFonts w:hint="eastAsia" w:cs="Times New Roman" w:asciiTheme="minorEastAsia" w:hAnsiTheme="minorEastAsia"/>
          <w:sz w:val="24"/>
          <w:szCs w:val="24"/>
        </w:rPr>
        <w:t>2.0</w:t>
      </w:r>
      <w:r>
        <w:rPr>
          <w:rFonts w:cs="Times New Roman" w:asciiTheme="minorEastAsia" w:hAnsiTheme="minorEastAsia"/>
          <w:sz w:val="24"/>
          <w:szCs w:val="24"/>
        </w:rPr>
        <w:t xml:space="preserve">.1 </w:t>
      </w:r>
      <w:r>
        <w:rPr>
          <w:rFonts w:hint="eastAsia" w:cs="Times New Roman" w:asciiTheme="minorEastAsia" w:hAnsiTheme="minorEastAsia"/>
          <w:sz w:val="24"/>
          <w:szCs w:val="24"/>
        </w:rPr>
        <w:t xml:space="preserve">城镇燃气  </w:t>
      </w:r>
      <w:r>
        <w:rPr>
          <w:rFonts w:ascii="Times New Roman" w:hAnsi="Times New Roman" w:cs="Times New Roman"/>
          <w:sz w:val="24"/>
          <w:szCs w:val="24"/>
        </w:rPr>
        <w:t>city gas</w:t>
      </w:r>
      <w:bookmarkEnd w:id="10"/>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 xml:space="preserve">     从城市、乡镇或居民点中的地区性气源点，通过输配系统供给居民生活、商业、工业企业生产、采暖通风和空调等各类用户公用性质的，且符合GB 50028燃气质量要求的可燃气体。城镇燃气一般包括天然气、液化石油气和人工煤气等。</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2.0.2 加臭剂</w:t>
      </w:r>
      <w:r>
        <w:rPr>
          <w:rFonts w:ascii="Times New Roman" w:hAnsi="Times New Roman" w:cs="Times New Roman"/>
          <w:sz w:val="24"/>
          <w:szCs w:val="24"/>
        </w:rPr>
        <w:t>odorant</w:t>
      </w:r>
    </w:p>
    <w:p>
      <w:pPr>
        <w:spacing w:line="400" w:lineRule="atLeas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一种具有强烈气味的有机化合物或混合物。</w:t>
      </w:r>
    </w:p>
    <w:p>
      <w:pPr>
        <w:spacing w:line="400" w:lineRule="atLeast"/>
        <w:outlineLvl w:val="0"/>
        <w:rPr>
          <w:rFonts w:cs="Times New Roman" w:asciiTheme="minorEastAsia" w:hAnsiTheme="minorEastAsia"/>
          <w:sz w:val="24"/>
          <w:szCs w:val="24"/>
        </w:rPr>
      </w:pPr>
      <w:bookmarkStart w:id="11" w:name="_Toc25922"/>
      <w:r>
        <w:rPr>
          <w:rFonts w:hint="eastAsia" w:cs="Times New Roman" w:asciiTheme="minorEastAsia" w:hAnsiTheme="minorEastAsia"/>
          <w:sz w:val="24"/>
          <w:szCs w:val="24"/>
        </w:rPr>
        <w:t>2.0</w:t>
      </w:r>
      <w:r>
        <w:rPr>
          <w:rFonts w:cs="Times New Roman" w:asciiTheme="minorEastAsia" w:hAnsiTheme="minorEastAsia"/>
          <w:sz w:val="24"/>
          <w:szCs w:val="24"/>
        </w:rPr>
        <w:t>.</w:t>
      </w:r>
      <w:r>
        <w:rPr>
          <w:rFonts w:hint="eastAsia" w:cs="Times New Roman" w:asciiTheme="minorEastAsia" w:hAnsiTheme="minorEastAsia"/>
          <w:sz w:val="24"/>
          <w:szCs w:val="24"/>
        </w:rPr>
        <w:t>3加气站</w:t>
      </w:r>
      <w:bookmarkEnd w:id="11"/>
      <w:r>
        <w:rPr>
          <w:rFonts w:ascii="Times New Roman" w:hAnsi="Times New Roman" w:cs="Times New Roman"/>
          <w:sz w:val="24"/>
          <w:szCs w:val="24"/>
        </w:rPr>
        <w:t>gas station</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 xml:space="preserve">    具有储气设施，使用加气机为机动车加注车用</w:t>
      </w:r>
      <w:r>
        <w:rPr>
          <w:rFonts w:ascii="Times New Roman" w:hAnsi="Times New Roman" w:cs="Times New Roman"/>
          <w:sz w:val="24"/>
          <w:szCs w:val="24"/>
        </w:rPr>
        <w:t>LPG</w:t>
      </w:r>
      <w:r>
        <w:rPr>
          <w:rFonts w:ascii="Times New Roman" w:cs="Times New Roman" w:hAnsiTheme="minorEastAsia"/>
          <w:sz w:val="24"/>
          <w:szCs w:val="24"/>
        </w:rPr>
        <w:t>、</w:t>
      </w:r>
      <w:r>
        <w:rPr>
          <w:rFonts w:ascii="Times New Roman" w:hAnsi="Times New Roman" w:cs="Times New Roman"/>
          <w:sz w:val="24"/>
          <w:szCs w:val="24"/>
        </w:rPr>
        <w:t>LNG</w:t>
      </w:r>
      <w:r>
        <w:rPr>
          <w:rFonts w:hint="eastAsia" w:cs="Times New Roman" w:asciiTheme="minorEastAsia" w:hAnsiTheme="minorEastAsia"/>
          <w:sz w:val="24"/>
          <w:szCs w:val="24"/>
        </w:rPr>
        <w:t>或</w:t>
      </w:r>
      <w:r>
        <w:rPr>
          <w:rFonts w:ascii="Times New Roman" w:hAnsi="Times New Roman" w:cs="Times New Roman"/>
          <w:sz w:val="24"/>
          <w:szCs w:val="24"/>
        </w:rPr>
        <w:t>CNG</w:t>
      </w:r>
      <w:r>
        <w:rPr>
          <w:rFonts w:hint="eastAsia" w:cs="Times New Roman" w:asciiTheme="minorEastAsia" w:hAnsiTheme="minorEastAsia"/>
          <w:sz w:val="24"/>
          <w:szCs w:val="24"/>
        </w:rPr>
        <w:t>等车用燃气并可提供其他便利性服务的场所。</w:t>
      </w:r>
    </w:p>
    <w:p>
      <w:pPr>
        <w:spacing w:line="400" w:lineRule="atLeast"/>
        <w:outlineLvl w:val="0"/>
        <w:rPr>
          <w:rFonts w:cs="Times New Roman" w:asciiTheme="minorEastAsia" w:hAnsiTheme="minorEastAsia"/>
          <w:sz w:val="24"/>
          <w:szCs w:val="24"/>
        </w:rPr>
      </w:pPr>
      <w:bookmarkStart w:id="12" w:name="_Toc2205"/>
      <w:r>
        <w:rPr>
          <w:rFonts w:hint="eastAsia" w:cs="Times New Roman" w:asciiTheme="minorEastAsia" w:hAnsiTheme="minorEastAsia"/>
          <w:sz w:val="24"/>
          <w:szCs w:val="24"/>
        </w:rPr>
        <w:t>2.0</w:t>
      </w:r>
      <w:r>
        <w:rPr>
          <w:rFonts w:cs="Times New Roman" w:asciiTheme="minorEastAsia" w:hAnsiTheme="minorEastAsia"/>
          <w:sz w:val="24"/>
          <w:szCs w:val="24"/>
        </w:rPr>
        <w:t>.</w:t>
      </w:r>
      <w:r>
        <w:rPr>
          <w:rFonts w:hint="eastAsia" w:cs="Times New Roman" w:asciiTheme="minorEastAsia" w:hAnsiTheme="minorEastAsia"/>
          <w:sz w:val="24"/>
          <w:szCs w:val="24"/>
        </w:rPr>
        <w:t>4加油加气合建站</w:t>
      </w:r>
      <w:bookmarkEnd w:id="12"/>
      <w:r>
        <w:rPr>
          <w:rFonts w:ascii="Times New Roman" w:hAnsi="Times New Roman" w:cs="Times New Roman"/>
          <w:sz w:val="24"/>
          <w:szCs w:val="24"/>
        </w:rPr>
        <w:t>refueling and refueling joint construction station</w:t>
      </w:r>
    </w:p>
    <w:p>
      <w:pPr>
        <w:spacing w:line="400" w:lineRule="atLeast"/>
        <w:ind w:firstLine="420"/>
        <w:rPr>
          <w:rFonts w:cs="Times New Roman" w:asciiTheme="minorEastAsia" w:hAnsiTheme="minorEastAsia"/>
          <w:sz w:val="24"/>
          <w:szCs w:val="24"/>
        </w:rPr>
      </w:pPr>
      <w:r>
        <w:rPr>
          <w:rFonts w:hint="eastAsia" w:cs="Times New Roman" w:asciiTheme="minorEastAsia" w:hAnsiTheme="minorEastAsia"/>
          <w:sz w:val="24"/>
          <w:szCs w:val="24"/>
        </w:rPr>
        <w:t>具有储油（气）设施，既能为机动车加注车用燃油，又能加注车用燃气，也可提供其他便利性服务的场所。</w:t>
      </w:r>
    </w:p>
    <w:p>
      <w:pPr>
        <w:spacing w:line="400" w:lineRule="atLeast"/>
        <w:outlineLvl w:val="0"/>
        <w:rPr>
          <w:rFonts w:cs="Times New Roman" w:asciiTheme="minorEastAsia" w:hAnsiTheme="minorEastAsia"/>
          <w:sz w:val="24"/>
          <w:szCs w:val="24"/>
        </w:rPr>
      </w:pPr>
      <w:bookmarkStart w:id="13" w:name="_Toc24297"/>
      <w:r>
        <w:rPr>
          <w:rFonts w:hint="eastAsia" w:cs="Times New Roman" w:asciiTheme="minorEastAsia" w:hAnsiTheme="minorEastAsia"/>
          <w:sz w:val="24"/>
          <w:szCs w:val="24"/>
        </w:rPr>
        <w:t>2.0.5 液化天然气</w:t>
      </w:r>
      <w:r>
        <w:rPr>
          <w:rFonts w:ascii="Times New Roman" w:hAnsi="Times New Roman" w:cs="Times New Roman"/>
          <w:sz w:val="24"/>
          <w:szCs w:val="24"/>
        </w:rPr>
        <w:t>liquified natural gas</w:t>
      </w:r>
      <w:r>
        <w:rPr>
          <w:rFonts w:ascii="Times New Roman" w:cs="Times New Roman" w:hAnsiTheme="minorEastAsia"/>
          <w:sz w:val="24"/>
          <w:szCs w:val="24"/>
        </w:rPr>
        <w:t>（</w:t>
      </w:r>
      <w:r>
        <w:rPr>
          <w:rFonts w:ascii="Times New Roman" w:hAnsi="Times New Roman" w:cs="Times New Roman"/>
          <w:sz w:val="24"/>
          <w:szCs w:val="24"/>
        </w:rPr>
        <w:t>LNG</w:t>
      </w:r>
      <w:r>
        <w:rPr>
          <w:rFonts w:ascii="Times New Roman" w:cs="Times New Roman" w:hAnsiTheme="minorEastAsia"/>
          <w:sz w:val="24"/>
          <w:szCs w:val="24"/>
        </w:rPr>
        <w:t>）</w:t>
      </w:r>
      <w:bookmarkEnd w:id="13"/>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 xml:space="preserve">   液化状况下的无色气体，其主要成分为甲烷。</w:t>
      </w:r>
    </w:p>
    <w:p>
      <w:pPr>
        <w:spacing w:line="400" w:lineRule="atLeast"/>
        <w:outlineLvl w:val="0"/>
        <w:rPr>
          <w:rFonts w:cs="Times New Roman" w:asciiTheme="minorEastAsia" w:hAnsiTheme="minorEastAsia"/>
          <w:sz w:val="24"/>
          <w:szCs w:val="24"/>
        </w:rPr>
      </w:pPr>
      <w:bookmarkStart w:id="14" w:name="_Toc23451"/>
      <w:r>
        <w:rPr>
          <w:rFonts w:hint="eastAsia" w:cs="Times New Roman" w:asciiTheme="minorEastAsia" w:hAnsiTheme="minorEastAsia"/>
          <w:sz w:val="24"/>
          <w:szCs w:val="24"/>
        </w:rPr>
        <w:t>2.0</w:t>
      </w:r>
      <w:r>
        <w:rPr>
          <w:rFonts w:cs="Times New Roman" w:asciiTheme="minorEastAsia" w:hAnsiTheme="minorEastAsia"/>
          <w:sz w:val="24"/>
          <w:szCs w:val="24"/>
        </w:rPr>
        <w:t>.</w:t>
      </w:r>
      <w:r>
        <w:rPr>
          <w:rFonts w:hint="eastAsia" w:cs="Times New Roman" w:asciiTheme="minorEastAsia" w:hAnsiTheme="minorEastAsia"/>
          <w:sz w:val="24"/>
          <w:szCs w:val="24"/>
        </w:rPr>
        <w:t>6  液化天然气加气站</w:t>
      </w:r>
      <w:bookmarkEnd w:id="14"/>
      <w:r>
        <w:rPr>
          <w:rFonts w:ascii="Times New Roman" w:hAnsi="Times New Roman" w:cs="Times New Roman"/>
          <w:sz w:val="24"/>
          <w:szCs w:val="24"/>
        </w:rPr>
        <w:t>LNG filling station</w:t>
      </w:r>
    </w:p>
    <w:p>
      <w:pPr>
        <w:spacing w:line="400" w:lineRule="atLeast"/>
        <w:ind w:firstLine="420"/>
        <w:rPr>
          <w:rFonts w:cs="Times New Roman" w:asciiTheme="minorEastAsia" w:hAnsiTheme="minorEastAsia"/>
          <w:sz w:val="24"/>
          <w:szCs w:val="24"/>
        </w:rPr>
      </w:pPr>
      <w:r>
        <w:rPr>
          <w:rFonts w:hint="eastAsia" w:cs="Times New Roman" w:asciiTheme="minorEastAsia" w:hAnsiTheme="minorEastAsia"/>
          <w:sz w:val="24"/>
          <w:szCs w:val="24"/>
        </w:rPr>
        <w:t>有</w:t>
      </w:r>
      <w:r>
        <w:rPr>
          <w:rFonts w:ascii="Times New Roman" w:hAnsi="Times New Roman" w:cs="Times New Roman"/>
          <w:sz w:val="24"/>
          <w:szCs w:val="24"/>
        </w:rPr>
        <w:t>LNG</w:t>
      </w:r>
      <w:r>
        <w:rPr>
          <w:rFonts w:hint="eastAsia" w:cs="Times New Roman" w:asciiTheme="minorEastAsia" w:hAnsiTheme="minorEastAsia"/>
          <w:sz w:val="24"/>
          <w:szCs w:val="24"/>
        </w:rPr>
        <w:t>储存设施，用</w:t>
      </w:r>
      <w:r>
        <w:rPr>
          <w:rFonts w:ascii="Times New Roman" w:hAnsi="Times New Roman" w:cs="Times New Roman"/>
          <w:sz w:val="24"/>
          <w:szCs w:val="24"/>
        </w:rPr>
        <w:t>LNG</w:t>
      </w:r>
      <w:r>
        <w:rPr>
          <w:rFonts w:hint="eastAsia" w:cs="Times New Roman" w:asciiTheme="minorEastAsia" w:hAnsiTheme="minorEastAsia"/>
          <w:sz w:val="24"/>
          <w:szCs w:val="24"/>
        </w:rPr>
        <w:t>加气机为</w:t>
      </w:r>
      <w:r>
        <w:rPr>
          <w:rFonts w:ascii="Times New Roman" w:hAnsi="Times New Roman" w:cs="Times New Roman"/>
          <w:sz w:val="24"/>
          <w:szCs w:val="24"/>
        </w:rPr>
        <w:t>LNG</w:t>
      </w:r>
      <w:r>
        <w:rPr>
          <w:rFonts w:hint="eastAsia" w:cs="Times New Roman" w:asciiTheme="minorEastAsia" w:hAnsiTheme="minorEastAsia"/>
          <w:sz w:val="24"/>
          <w:szCs w:val="24"/>
        </w:rPr>
        <w:t>汽车储气瓶充装车用</w:t>
      </w:r>
      <w:r>
        <w:rPr>
          <w:rFonts w:ascii="Times New Roman" w:hAnsi="Times New Roman" w:cs="Times New Roman"/>
          <w:sz w:val="24"/>
          <w:szCs w:val="24"/>
        </w:rPr>
        <w:t>LNG</w:t>
      </w:r>
      <w:r>
        <w:rPr>
          <w:rFonts w:hint="eastAsia" w:cs="Times New Roman" w:asciiTheme="minorEastAsia" w:hAnsiTheme="minorEastAsia"/>
          <w:sz w:val="24"/>
          <w:szCs w:val="24"/>
        </w:rPr>
        <w:t>，并可提供其他便利性服务的场所。</w:t>
      </w:r>
    </w:p>
    <w:p>
      <w:pPr>
        <w:spacing w:line="400" w:lineRule="atLeast"/>
        <w:outlineLvl w:val="0"/>
        <w:rPr>
          <w:rFonts w:cs="Times New Roman" w:asciiTheme="minorEastAsia" w:hAnsiTheme="minorEastAsia"/>
          <w:sz w:val="24"/>
          <w:szCs w:val="24"/>
        </w:rPr>
      </w:pPr>
      <w:bookmarkStart w:id="15" w:name="_Toc691"/>
      <w:r>
        <w:rPr>
          <w:rFonts w:hint="eastAsia" w:cs="Times New Roman" w:asciiTheme="minorEastAsia" w:hAnsiTheme="minorEastAsia"/>
          <w:sz w:val="24"/>
          <w:szCs w:val="24"/>
        </w:rPr>
        <w:t>2.0.7 加气机</w:t>
      </w:r>
      <w:bookmarkEnd w:id="15"/>
      <w:r>
        <w:rPr>
          <w:rFonts w:ascii="Times New Roman" w:hAnsi="Times New Roman" w:cs="Times New Roman"/>
          <w:sz w:val="24"/>
          <w:szCs w:val="24"/>
        </w:rPr>
        <w:t>gas dispenser</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 xml:space="preserve">    用于向燃气汽车储气瓶充装</w:t>
      </w:r>
      <w:r>
        <w:rPr>
          <w:rFonts w:ascii="Times New Roman" w:hAnsi="Times New Roman" w:cs="Times New Roman"/>
          <w:sz w:val="24"/>
          <w:szCs w:val="24"/>
        </w:rPr>
        <w:t>LPG</w:t>
      </w:r>
      <w:r>
        <w:rPr>
          <w:rFonts w:ascii="Times New Roman" w:cs="Times New Roman" w:hAnsiTheme="minorEastAsia"/>
          <w:sz w:val="24"/>
          <w:szCs w:val="24"/>
        </w:rPr>
        <w:t>、</w:t>
      </w:r>
      <w:r>
        <w:rPr>
          <w:rFonts w:ascii="Times New Roman" w:hAnsi="Times New Roman" w:cs="Times New Roman"/>
          <w:sz w:val="24"/>
          <w:szCs w:val="24"/>
        </w:rPr>
        <w:t>LNG</w:t>
      </w:r>
      <w:r>
        <w:rPr>
          <w:rFonts w:hint="eastAsia" w:cs="Times New Roman" w:asciiTheme="minorEastAsia" w:hAnsiTheme="minorEastAsia"/>
          <w:sz w:val="24"/>
          <w:szCs w:val="24"/>
        </w:rPr>
        <w:t>或</w:t>
      </w:r>
      <w:r>
        <w:rPr>
          <w:rFonts w:ascii="Times New Roman" w:hAnsi="Times New Roman" w:cs="Times New Roman"/>
          <w:sz w:val="24"/>
          <w:szCs w:val="24"/>
        </w:rPr>
        <w:t>CNG</w:t>
      </w:r>
      <w:r>
        <w:rPr>
          <w:rFonts w:hint="eastAsia" w:cs="Times New Roman" w:asciiTheme="minorEastAsia" w:hAnsiTheme="minorEastAsia"/>
          <w:sz w:val="24"/>
          <w:szCs w:val="24"/>
        </w:rPr>
        <w:t>，并带有计量、计价装置的专用设备。</w:t>
      </w:r>
    </w:p>
    <w:p>
      <w:pPr>
        <w:spacing w:line="400" w:lineRule="atLeast"/>
        <w:outlineLvl w:val="0"/>
        <w:rPr>
          <w:rFonts w:cs="Times New Roman" w:asciiTheme="minorEastAsia" w:hAnsiTheme="minorEastAsia"/>
          <w:sz w:val="24"/>
          <w:szCs w:val="24"/>
        </w:rPr>
      </w:pPr>
      <w:bookmarkStart w:id="16" w:name="_Toc8724"/>
      <w:r>
        <w:rPr>
          <w:rFonts w:hint="eastAsia" w:cs="Times New Roman" w:asciiTheme="minorEastAsia" w:hAnsiTheme="minorEastAsia"/>
          <w:sz w:val="24"/>
          <w:szCs w:val="24"/>
        </w:rPr>
        <w:t>2.0.8 压缩天然气</w:t>
      </w:r>
      <w:r>
        <w:rPr>
          <w:rFonts w:ascii="Times New Roman" w:hAnsi="Times New Roman" w:cs="Times New Roman"/>
          <w:sz w:val="24"/>
          <w:szCs w:val="24"/>
        </w:rPr>
        <w:t xml:space="preserve"> compressed natural gas</w:t>
      </w:r>
      <w:r>
        <w:rPr>
          <w:rFonts w:ascii="Times New Roman" w:cs="Times New Roman" w:hAnsiTheme="minorEastAsia"/>
          <w:sz w:val="24"/>
          <w:szCs w:val="24"/>
        </w:rPr>
        <w:t>（</w:t>
      </w:r>
      <w:r>
        <w:rPr>
          <w:rFonts w:ascii="Times New Roman" w:hAnsi="Times New Roman" w:cs="Times New Roman"/>
          <w:sz w:val="24"/>
          <w:szCs w:val="24"/>
        </w:rPr>
        <w:t>CNG</w:t>
      </w:r>
      <w:r>
        <w:rPr>
          <w:rFonts w:ascii="Times New Roman" w:cs="Times New Roman" w:hAnsiTheme="minorEastAsia"/>
          <w:sz w:val="24"/>
          <w:szCs w:val="24"/>
        </w:rPr>
        <w:t>）</w:t>
      </w:r>
      <w:bookmarkEnd w:id="16"/>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压缩到压力大于或等于</w:t>
      </w:r>
      <w:r>
        <w:rPr>
          <w:rFonts w:ascii="Times New Roman" w:hAnsi="Times New Roman" w:cs="Times New Roman"/>
          <w:sz w:val="24"/>
          <w:szCs w:val="24"/>
        </w:rPr>
        <w:t>10MPa</w:t>
      </w:r>
      <w:r>
        <w:rPr>
          <w:rFonts w:hint="eastAsia" w:cs="Times New Roman" w:asciiTheme="minorEastAsia" w:hAnsiTheme="minorEastAsia"/>
          <w:sz w:val="24"/>
          <w:szCs w:val="24"/>
        </w:rPr>
        <w:t>且不大于</w:t>
      </w:r>
      <w:r>
        <w:rPr>
          <w:rFonts w:ascii="Times New Roman" w:hAnsi="Times New Roman" w:cs="Times New Roman"/>
          <w:sz w:val="24"/>
          <w:szCs w:val="24"/>
        </w:rPr>
        <w:t>25MPa</w:t>
      </w:r>
      <w:r>
        <w:rPr>
          <w:rFonts w:hint="eastAsia" w:cs="Times New Roman" w:asciiTheme="minorEastAsia" w:hAnsiTheme="minorEastAsia"/>
          <w:sz w:val="24"/>
          <w:szCs w:val="24"/>
        </w:rPr>
        <w:t>的气态天然气。</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2.0.9 压缩天然气加气站</w:t>
      </w:r>
      <w:r>
        <w:rPr>
          <w:rFonts w:ascii="Times New Roman" w:hAnsi="Times New Roman" w:cs="Times New Roman"/>
          <w:sz w:val="24"/>
          <w:szCs w:val="24"/>
        </w:rPr>
        <w:t>compressed natural gas filling station</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 xml:space="preserve">    由高、中压输气管道或气田的集气处理站等引入天然气，经净化、计算、压缩并向气瓶车或气瓶组充装压缩天然气的场站。</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2.0.10液化天然气气化站</w:t>
      </w:r>
      <w:r>
        <w:rPr>
          <w:rFonts w:ascii="Times New Roman" w:hAnsi="Times New Roman" w:cs="Times New Roman"/>
          <w:sz w:val="24"/>
          <w:szCs w:val="24"/>
        </w:rPr>
        <w:t>lquified natural gasgasification station</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 xml:space="preserve">    具有将罐车、槽船运输的液化天然气进行卸气、加热、调压、储存、计量、加臭，并送入城镇燃气输配管道功能的场站。</w:t>
      </w:r>
    </w:p>
    <w:p>
      <w:pPr>
        <w:spacing w:line="480" w:lineRule="auto"/>
        <w:jc w:val="center"/>
        <w:rPr>
          <w:rFonts w:ascii="黑体" w:hAnsi="黑体" w:eastAsia="黑体" w:cs="Times New Roman"/>
          <w:b/>
          <w:sz w:val="32"/>
          <w:szCs w:val="32"/>
        </w:rPr>
      </w:pPr>
    </w:p>
    <w:p>
      <w:pPr>
        <w:spacing w:line="480" w:lineRule="auto"/>
        <w:jc w:val="center"/>
        <w:rPr>
          <w:rFonts w:ascii="黑体" w:hAnsi="黑体" w:eastAsia="黑体" w:cs="Times New Roman"/>
          <w:b/>
          <w:sz w:val="32"/>
          <w:szCs w:val="32"/>
        </w:rPr>
      </w:pPr>
    </w:p>
    <w:p>
      <w:pPr>
        <w:spacing w:line="480" w:lineRule="auto"/>
        <w:jc w:val="center"/>
        <w:rPr>
          <w:rFonts w:ascii="黑体" w:hAnsi="黑体" w:eastAsia="黑体" w:cs="Times New Roman"/>
          <w:b/>
          <w:sz w:val="32"/>
          <w:szCs w:val="32"/>
        </w:rPr>
      </w:pPr>
    </w:p>
    <w:p>
      <w:pPr>
        <w:spacing w:line="480" w:lineRule="auto"/>
        <w:jc w:val="center"/>
        <w:outlineLvl w:val="0"/>
        <w:rPr>
          <w:rFonts w:ascii="宋体" w:hAnsi="宋体" w:eastAsia="宋体" w:cs="宋体"/>
          <w:b/>
          <w:sz w:val="28"/>
          <w:szCs w:val="28"/>
        </w:rPr>
      </w:pPr>
      <w:bookmarkStart w:id="17" w:name="_Toc359"/>
      <w:bookmarkStart w:id="18" w:name="_Toc8197"/>
      <w:r>
        <w:rPr>
          <w:rFonts w:hint="eastAsia" w:ascii="宋体" w:hAnsi="宋体" w:eastAsia="宋体" w:cs="宋体"/>
          <w:b/>
          <w:sz w:val="28"/>
          <w:szCs w:val="28"/>
        </w:rPr>
        <w:t>3 汽车加气运营企业安全管理</w:t>
      </w:r>
      <w:bookmarkEnd w:id="17"/>
      <w:bookmarkEnd w:id="18"/>
    </w:p>
    <w:p>
      <w:pPr>
        <w:spacing w:line="400" w:lineRule="atLeast"/>
        <w:jc w:val="center"/>
        <w:outlineLvl w:val="1"/>
        <w:rPr>
          <w:rFonts w:cs="Times New Roman" w:asciiTheme="majorEastAsia" w:hAnsiTheme="majorEastAsia" w:eastAsiaTheme="majorEastAsia"/>
          <w:b/>
          <w:sz w:val="24"/>
          <w:szCs w:val="24"/>
        </w:rPr>
      </w:pPr>
      <w:bookmarkStart w:id="19" w:name="_Toc30904"/>
      <w:bookmarkStart w:id="20" w:name="_Toc23290"/>
      <w:r>
        <w:rPr>
          <w:rFonts w:cs="Times New Roman" w:asciiTheme="majorEastAsia" w:hAnsiTheme="majorEastAsia" w:eastAsiaTheme="majorEastAsia"/>
          <w:b/>
          <w:sz w:val="24"/>
          <w:szCs w:val="24"/>
        </w:rPr>
        <w:t>3.1 安全生产目标方针管理</w:t>
      </w:r>
      <w:bookmarkEnd w:id="19"/>
      <w:bookmarkEnd w:id="20"/>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3.1.1 安全生产方针</w:t>
      </w:r>
    </w:p>
    <w:p>
      <w:pPr>
        <w:spacing w:line="400" w:lineRule="atLeast"/>
        <w:ind w:firstLine="360" w:firstLineChars="150"/>
        <w:rPr>
          <w:rFonts w:cs="Times New Roman" w:asciiTheme="majorEastAsia" w:hAnsiTheme="majorEastAsia" w:eastAsiaTheme="majorEastAsia"/>
          <w:b/>
          <w:sz w:val="24"/>
          <w:szCs w:val="24"/>
        </w:rPr>
      </w:pPr>
      <w:r>
        <w:rPr>
          <w:rFonts w:cs="Times New Roman" w:asciiTheme="majorEastAsia" w:hAnsiTheme="majorEastAsia" w:eastAsiaTheme="majorEastAsia"/>
          <w:sz w:val="24"/>
          <w:szCs w:val="24"/>
        </w:rPr>
        <w:t>企业应坚持国家</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安全第一，预防为主，综合治理</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的安全生产方针。主要负责人应依据国家法律法规，结合企业实际，组织制定制度化的企业安全生产方针、政策。</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2</w:t>
      </w:r>
      <w:r>
        <w:rPr>
          <w:rFonts w:hint="eastAsia" w:cs="Times New Roman" w:asciiTheme="majorEastAsia" w:hAnsiTheme="majorEastAsia" w:eastAsiaTheme="majorEastAsia"/>
          <w:sz w:val="24"/>
          <w:szCs w:val="24"/>
        </w:rPr>
        <w:t xml:space="preserve"> 年度目标与计划应符合下列规定：</w:t>
      </w:r>
    </w:p>
    <w:p>
      <w:pPr>
        <w:spacing w:line="400" w:lineRule="atLeast"/>
        <w:ind w:firstLine="360" w:firstLineChars="15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企业应</w:t>
      </w:r>
      <w:r>
        <w:rPr>
          <w:rFonts w:hint="eastAsia" w:cs="Times New Roman" w:asciiTheme="majorEastAsia" w:hAnsiTheme="majorEastAsia" w:eastAsiaTheme="majorEastAsia"/>
          <w:sz w:val="24"/>
          <w:szCs w:val="24"/>
        </w:rPr>
        <w:t>确定</w:t>
      </w:r>
      <w:r>
        <w:rPr>
          <w:rFonts w:cs="Times New Roman" w:asciiTheme="majorEastAsia" w:hAnsiTheme="majorEastAsia" w:eastAsiaTheme="majorEastAsia"/>
          <w:sz w:val="24"/>
          <w:szCs w:val="24"/>
        </w:rPr>
        <w:t>量化的年度安全工作目标，逐级签订各级安全目标责任书，将其覆盖到各个管理层和岗位，并定期进行考核。</w:t>
      </w:r>
      <w:r>
        <w:rPr>
          <w:rFonts w:cs="Times New Roman" w:asciiTheme="majorEastAsia" w:hAnsiTheme="majorEastAsia" w:eastAsiaTheme="majorEastAsia"/>
          <w:sz w:val="24"/>
          <w:szCs w:val="24"/>
        </w:rPr>
        <w:cr/>
      </w:r>
      <w:r>
        <w:rPr>
          <w:rFonts w:hint="eastAsia" w:cs="Times New Roman" w:asciiTheme="majorEastAsia" w:hAnsiTheme="majorEastAsia" w:eastAsiaTheme="majorEastAsia"/>
          <w:sz w:val="24"/>
          <w:szCs w:val="24"/>
        </w:rPr>
        <w:t xml:space="preserve">   2</w:t>
      </w:r>
      <w:r>
        <w:rPr>
          <w:rFonts w:cs="Times New Roman" w:asciiTheme="majorEastAsia" w:hAnsiTheme="majorEastAsia" w:eastAsiaTheme="majorEastAsia"/>
          <w:sz w:val="24"/>
          <w:szCs w:val="24"/>
        </w:rPr>
        <w:t>企业应制定年度安全工作计划，以保证年度安全目标能有效完成。</w:t>
      </w:r>
    </w:p>
    <w:p>
      <w:pPr>
        <w:spacing w:line="400" w:lineRule="atLeast"/>
        <w:ind w:firstLine="360" w:firstLineChars="150"/>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 xml:space="preserve">3 </w:t>
      </w:r>
      <w:r>
        <w:rPr>
          <w:rFonts w:hint="eastAsia" w:cs="Times New Roman" w:asciiTheme="majorEastAsia" w:hAnsiTheme="majorEastAsia" w:eastAsiaTheme="majorEastAsia"/>
          <w:sz w:val="24"/>
          <w:szCs w:val="24"/>
        </w:rPr>
        <w:t>企业应制定年度环境保护、职业健康管理目标。</w:t>
      </w:r>
    </w:p>
    <w:p>
      <w:pPr>
        <w:spacing w:line="400" w:lineRule="atLeast"/>
        <w:jc w:val="center"/>
        <w:outlineLvl w:val="1"/>
        <w:rPr>
          <w:rFonts w:cs="Times New Roman" w:asciiTheme="majorEastAsia" w:hAnsiTheme="majorEastAsia" w:eastAsiaTheme="majorEastAsia"/>
          <w:b/>
          <w:sz w:val="24"/>
          <w:szCs w:val="24"/>
        </w:rPr>
      </w:pPr>
      <w:bookmarkStart w:id="21" w:name="_Toc10712"/>
      <w:bookmarkStart w:id="22" w:name="_Toc20544"/>
      <w:r>
        <w:rPr>
          <w:rFonts w:cs="Times New Roman" w:asciiTheme="majorEastAsia" w:hAnsiTheme="majorEastAsia" w:eastAsiaTheme="majorEastAsia"/>
          <w:b/>
          <w:sz w:val="24"/>
          <w:szCs w:val="24"/>
        </w:rPr>
        <w:t>3.2 安全生产管理机构</w:t>
      </w:r>
      <w:bookmarkEnd w:id="21"/>
      <w:bookmarkEnd w:id="22"/>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2.1</w:t>
      </w:r>
      <w:r>
        <w:rPr>
          <w:rFonts w:cs="Times New Roman" w:asciiTheme="majorEastAsia" w:hAnsiTheme="majorEastAsia" w:eastAsiaTheme="majorEastAsia"/>
          <w:sz w:val="24"/>
          <w:szCs w:val="24"/>
        </w:rPr>
        <w:t>企业</w:t>
      </w:r>
      <w:r>
        <w:rPr>
          <w:rFonts w:hint="eastAsia" w:cs="Times New Roman" w:asciiTheme="majorEastAsia" w:hAnsiTheme="majorEastAsia" w:eastAsiaTheme="majorEastAsia"/>
          <w:sz w:val="24"/>
          <w:szCs w:val="24"/>
        </w:rPr>
        <w:t>生产经营</w:t>
      </w:r>
      <w:r>
        <w:rPr>
          <w:rFonts w:cs="Times New Roman" w:asciiTheme="majorEastAsia" w:hAnsiTheme="majorEastAsia" w:eastAsiaTheme="majorEastAsia"/>
          <w:sz w:val="24"/>
          <w:szCs w:val="24"/>
        </w:rPr>
        <w:t>活动应符合核准许可范围，无超范围或超期经营，无违规转让</w:t>
      </w:r>
      <w:r>
        <w:rPr>
          <w:rFonts w:hint="eastAsia" w:cs="Times New Roman" w:asciiTheme="majorEastAsia" w:hAnsiTheme="majorEastAsia" w:eastAsiaTheme="majorEastAsia"/>
          <w:sz w:val="24"/>
          <w:szCs w:val="24"/>
        </w:rPr>
        <w:t>、出租</w:t>
      </w:r>
      <w:r>
        <w:rPr>
          <w:rFonts w:cs="Times New Roman" w:asciiTheme="majorEastAsia" w:hAnsiTheme="majorEastAsia" w:eastAsiaTheme="majorEastAsia"/>
          <w:sz w:val="24"/>
          <w:szCs w:val="24"/>
        </w:rPr>
        <w:t>证照等行为。</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3.2.2 企业应设置专门的安全管理机构或配备有专职安全生产管理人员，并应按规定配备注册安全工程师。</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3.2.3 企业应按照规定，结合实际情况，建立从安全生产委员会（领导小组）到基层班组的安全生产管理网络。</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3.2.4企业应层层建立安全生产例会制度。安全生产会议应形成会议纪要，会议纪要应下发至各单位，各单位对相关要求进行落实。</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3.2.5 企业安全管理部门应存档保存好安全生产委员会会议记录或纪要以及安全生产委员会决议落实情况的相关资料。</w:t>
      </w:r>
    </w:p>
    <w:p>
      <w:pPr>
        <w:spacing w:line="400" w:lineRule="atLeast"/>
        <w:jc w:val="center"/>
        <w:outlineLvl w:val="1"/>
        <w:rPr>
          <w:rFonts w:cs="Times New Roman" w:asciiTheme="majorEastAsia" w:hAnsiTheme="majorEastAsia" w:eastAsiaTheme="majorEastAsia"/>
          <w:b/>
          <w:sz w:val="24"/>
          <w:szCs w:val="24"/>
        </w:rPr>
      </w:pPr>
      <w:bookmarkStart w:id="23" w:name="_Toc3178"/>
      <w:bookmarkStart w:id="24" w:name="_Toc6958"/>
      <w:r>
        <w:rPr>
          <w:rFonts w:hint="eastAsia" w:cs="Times New Roman" w:asciiTheme="majorEastAsia" w:hAnsiTheme="majorEastAsia" w:eastAsiaTheme="majorEastAsia"/>
          <w:b/>
          <w:sz w:val="24"/>
          <w:szCs w:val="24"/>
        </w:rPr>
        <w:t>3.3 人员配备要求</w:t>
      </w:r>
      <w:bookmarkEnd w:id="23"/>
      <w:bookmarkEnd w:id="24"/>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3.3.1 企业</w:t>
      </w:r>
      <w:r>
        <w:rPr>
          <w:rFonts w:cs="Times New Roman" w:asciiTheme="majorEastAsia" w:hAnsiTheme="majorEastAsia" w:eastAsiaTheme="majorEastAsia"/>
          <w:sz w:val="24"/>
          <w:szCs w:val="24"/>
        </w:rPr>
        <w:t>法定代表人</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或实际控制人</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、安全生产第一责任人和直接负责人</w:t>
      </w:r>
      <w:r>
        <w:rPr>
          <w:rFonts w:hint="eastAsia" w:cs="Times New Roman" w:asciiTheme="majorEastAsia" w:hAnsiTheme="majorEastAsia" w:eastAsiaTheme="majorEastAsia"/>
          <w:sz w:val="24"/>
          <w:szCs w:val="24"/>
        </w:rPr>
        <w:t>、安全管理机构负责人、技术部门负责人、专职安全管理人员均应满足岗位所必需的任职条件。</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3.3.2 企业应按照相关法律法规的规定和要求配备安全管理人员和各岗位人员。</w:t>
      </w:r>
    </w:p>
    <w:p>
      <w:pPr>
        <w:spacing w:line="400" w:lineRule="atLeast"/>
        <w:jc w:val="center"/>
        <w:outlineLvl w:val="1"/>
        <w:rPr>
          <w:rFonts w:cs="Times New Roman" w:asciiTheme="majorEastAsia" w:hAnsiTheme="majorEastAsia" w:eastAsiaTheme="majorEastAsia"/>
          <w:b/>
          <w:sz w:val="24"/>
          <w:szCs w:val="24"/>
        </w:rPr>
      </w:pPr>
      <w:bookmarkStart w:id="25" w:name="_Toc4434"/>
      <w:bookmarkStart w:id="26" w:name="_Toc8852"/>
      <w:r>
        <w:rPr>
          <w:rFonts w:hint="eastAsia" w:cs="Times New Roman" w:asciiTheme="majorEastAsia" w:hAnsiTheme="majorEastAsia" w:eastAsiaTheme="majorEastAsia"/>
          <w:b/>
          <w:sz w:val="24"/>
          <w:szCs w:val="24"/>
        </w:rPr>
        <w:t>3.4 安全生产职责</w:t>
      </w:r>
      <w:bookmarkEnd w:id="25"/>
      <w:bookmarkEnd w:id="26"/>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3.4.1</w:t>
      </w:r>
      <w:r>
        <w:rPr>
          <w:rFonts w:cs="Times New Roman" w:asciiTheme="majorEastAsia" w:hAnsiTheme="majorEastAsia" w:eastAsiaTheme="majorEastAsia"/>
          <w:sz w:val="24"/>
          <w:szCs w:val="24"/>
        </w:rPr>
        <w:t>企业应建立安全生产责任制，制定安全生产委员会</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领导</w:t>
      </w:r>
      <w:r>
        <w:rPr>
          <w:rFonts w:hint="eastAsia" w:cs="Times New Roman" w:asciiTheme="majorEastAsia" w:hAnsiTheme="majorEastAsia" w:eastAsiaTheme="majorEastAsia"/>
          <w:sz w:val="24"/>
          <w:szCs w:val="24"/>
        </w:rPr>
        <w:t>小组）</w:t>
      </w:r>
      <w:r>
        <w:rPr>
          <w:rFonts w:cs="Times New Roman" w:asciiTheme="majorEastAsia" w:hAnsiTheme="majorEastAsia" w:eastAsiaTheme="majorEastAsia"/>
          <w:sz w:val="24"/>
          <w:szCs w:val="24"/>
        </w:rPr>
        <w:t>和各</w:t>
      </w:r>
      <w:r>
        <w:rPr>
          <w:rFonts w:hint="eastAsia" w:cs="Times New Roman" w:asciiTheme="majorEastAsia" w:hAnsiTheme="majorEastAsia" w:eastAsiaTheme="majorEastAsia"/>
          <w:sz w:val="24"/>
          <w:szCs w:val="24"/>
        </w:rPr>
        <w:t>部门</w:t>
      </w:r>
      <w:r>
        <w:rPr>
          <w:rFonts w:cs="Times New Roman" w:asciiTheme="majorEastAsia" w:hAnsiTheme="majorEastAsia" w:eastAsiaTheme="majorEastAsia"/>
          <w:sz w:val="24"/>
          <w:szCs w:val="24"/>
        </w:rPr>
        <w:t>的安全职责。</w:t>
      </w:r>
      <w:r>
        <w:rPr>
          <w:rFonts w:hint="eastAsia" w:cs="Times New Roman" w:asciiTheme="majorEastAsia" w:hAnsiTheme="majorEastAsia" w:eastAsiaTheme="majorEastAsia"/>
          <w:sz w:val="24"/>
          <w:szCs w:val="24"/>
        </w:rPr>
        <w:t>全员签订安全责任书。</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 xml:space="preserve">3.4.2 </w:t>
      </w:r>
      <w:r>
        <w:rPr>
          <w:rFonts w:cs="Times New Roman" w:asciiTheme="majorEastAsia" w:hAnsiTheme="majorEastAsia" w:eastAsiaTheme="majorEastAsia"/>
          <w:sz w:val="24"/>
          <w:szCs w:val="24"/>
        </w:rPr>
        <w:t>安全生产责任制的内容应覆盖企业所有部门和人员，安全生产责任制应简练、实用，符合岗位实际要求，具有针对性和可操作性。</w:t>
      </w:r>
      <w:r>
        <w:rPr>
          <w:rFonts w:cs="Times New Roman" w:asciiTheme="majorEastAsia" w:hAnsiTheme="majorEastAsia" w:eastAsiaTheme="majorEastAsia"/>
          <w:sz w:val="24"/>
          <w:szCs w:val="24"/>
        </w:rPr>
        <w:cr/>
      </w:r>
      <w:r>
        <w:rPr>
          <w:rFonts w:hint="eastAsia" w:cs="Times New Roman" w:asciiTheme="majorEastAsia" w:hAnsiTheme="majorEastAsia" w:eastAsiaTheme="majorEastAsia"/>
          <w:sz w:val="24"/>
          <w:szCs w:val="24"/>
        </w:rPr>
        <w:t>3.4.3</w:t>
      </w:r>
      <w:r>
        <w:rPr>
          <w:rFonts w:cs="Times New Roman" w:asciiTheme="majorEastAsia" w:hAnsiTheme="majorEastAsia" w:eastAsiaTheme="majorEastAsia"/>
          <w:sz w:val="24"/>
          <w:szCs w:val="24"/>
        </w:rPr>
        <w:t>企业应对各级管理部门、管理人员及从业人员安全职责的履行情况和安全生产责任制的落实情况进行</w:t>
      </w:r>
      <w:r>
        <w:rPr>
          <w:rFonts w:hint="eastAsia" w:cs="Times New Roman" w:asciiTheme="majorEastAsia" w:hAnsiTheme="majorEastAsia" w:eastAsiaTheme="majorEastAsia"/>
          <w:sz w:val="24"/>
          <w:szCs w:val="24"/>
        </w:rPr>
        <w:t>定期考核</w:t>
      </w:r>
      <w:r>
        <w:rPr>
          <w:rFonts w:cs="Times New Roman" w:asciiTheme="majorEastAsia" w:hAnsiTheme="majorEastAsia" w:eastAsiaTheme="majorEastAsia"/>
          <w:sz w:val="24"/>
          <w:szCs w:val="24"/>
        </w:rPr>
        <w:t>考核。</w:t>
      </w:r>
    </w:p>
    <w:p>
      <w:pPr>
        <w:spacing w:line="400" w:lineRule="atLeast"/>
        <w:jc w:val="center"/>
        <w:outlineLvl w:val="1"/>
        <w:rPr>
          <w:rFonts w:cs="Times New Roman" w:asciiTheme="majorEastAsia" w:hAnsiTheme="majorEastAsia" w:eastAsiaTheme="majorEastAsia"/>
          <w:b/>
          <w:sz w:val="24"/>
          <w:szCs w:val="24"/>
        </w:rPr>
      </w:pPr>
      <w:bookmarkStart w:id="27" w:name="_Toc23165"/>
      <w:bookmarkStart w:id="28" w:name="_Toc4466"/>
      <w:r>
        <w:rPr>
          <w:rFonts w:hint="eastAsia" w:cs="Times New Roman" w:asciiTheme="majorEastAsia" w:hAnsiTheme="majorEastAsia" w:eastAsiaTheme="majorEastAsia"/>
          <w:b/>
          <w:sz w:val="24"/>
          <w:szCs w:val="24"/>
        </w:rPr>
        <w:t>3.5 安全生产投入</w:t>
      </w:r>
      <w:bookmarkEnd w:id="27"/>
      <w:bookmarkEnd w:id="28"/>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3.5.1企业应依据国家《企业安全生产费用提取和使用管理办法》的有关规定，提取符合要求的安全生产费用，专项用于安全生产。</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3.5.2企业应建立安全生产费用科目，制定安全生产费用的使用计划，建立安全生产费用科目和台账，监督管理安全投入的有效使用。</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3.5.3企业应依法为员工购买工伤保险，按时足额缴纳工伤保险费。</w:t>
      </w:r>
    </w:p>
    <w:p>
      <w:pPr>
        <w:spacing w:line="400" w:lineRule="atLeast"/>
        <w:jc w:val="center"/>
        <w:outlineLvl w:val="1"/>
        <w:rPr>
          <w:rFonts w:cs="Times New Roman" w:asciiTheme="majorEastAsia" w:hAnsiTheme="majorEastAsia" w:eastAsiaTheme="majorEastAsia"/>
          <w:b/>
          <w:sz w:val="24"/>
          <w:szCs w:val="24"/>
        </w:rPr>
      </w:pPr>
      <w:bookmarkStart w:id="29" w:name="_Toc29797"/>
      <w:bookmarkStart w:id="30" w:name="_Toc26235"/>
      <w:r>
        <w:rPr>
          <w:rFonts w:hint="eastAsia" w:cs="Times New Roman" w:asciiTheme="majorEastAsia" w:hAnsiTheme="majorEastAsia" w:eastAsiaTheme="majorEastAsia"/>
          <w:b/>
          <w:sz w:val="24"/>
          <w:szCs w:val="24"/>
        </w:rPr>
        <w:t>3.6 安全文化、标准化建设</w:t>
      </w:r>
      <w:bookmarkEnd w:id="29"/>
      <w:bookmarkEnd w:id="30"/>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3.6.1企业应开展安全文化建设，建设活动应符合</w:t>
      </w:r>
      <w:r>
        <w:rPr>
          <w:rFonts w:ascii="Times New Roman" w:hAnsi="Times New Roman" w:cs="Times New Roman" w:eastAsiaTheme="majorEastAsia"/>
          <w:sz w:val="24"/>
          <w:szCs w:val="24"/>
        </w:rPr>
        <w:t>AQ/T 9004</w:t>
      </w:r>
      <w:r>
        <w:rPr>
          <w:rFonts w:hint="eastAsia" w:cs="Times New Roman" w:asciiTheme="majorEastAsia" w:hAnsiTheme="majorEastAsia" w:eastAsiaTheme="majorEastAsia"/>
          <w:sz w:val="24"/>
          <w:szCs w:val="24"/>
        </w:rPr>
        <w:t>的规定。</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3.6.2 企业应开展安全生产标准化建设，建设活动应符合</w:t>
      </w:r>
      <w:r>
        <w:rPr>
          <w:rFonts w:ascii="Times New Roman" w:hAnsi="Times New Roman" w:cs="Times New Roman" w:eastAsiaTheme="majorEastAsia"/>
          <w:sz w:val="24"/>
          <w:szCs w:val="24"/>
        </w:rPr>
        <w:t>GB/T 33000</w:t>
      </w:r>
      <w:r>
        <w:rPr>
          <w:rFonts w:hint="eastAsia" w:cs="Times New Roman" w:asciiTheme="majorEastAsia" w:hAnsiTheme="majorEastAsia" w:eastAsiaTheme="majorEastAsia"/>
          <w:sz w:val="24"/>
          <w:szCs w:val="24"/>
        </w:rPr>
        <w:t>的要求。</w:t>
      </w:r>
    </w:p>
    <w:p>
      <w:pPr>
        <w:spacing w:line="400" w:lineRule="atLeast"/>
        <w:jc w:val="center"/>
        <w:outlineLvl w:val="1"/>
        <w:rPr>
          <w:rFonts w:cs="Times New Roman" w:asciiTheme="majorEastAsia" w:hAnsiTheme="majorEastAsia" w:eastAsiaTheme="majorEastAsia"/>
          <w:b/>
          <w:sz w:val="24"/>
          <w:szCs w:val="24"/>
        </w:rPr>
      </w:pPr>
      <w:bookmarkStart w:id="31" w:name="_Toc8533"/>
      <w:bookmarkStart w:id="32" w:name="_Toc7673"/>
      <w:r>
        <w:rPr>
          <w:rFonts w:hint="eastAsia" w:cs="Times New Roman" w:asciiTheme="majorEastAsia" w:hAnsiTheme="majorEastAsia" w:eastAsiaTheme="majorEastAsia"/>
          <w:b/>
          <w:sz w:val="24"/>
          <w:szCs w:val="24"/>
        </w:rPr>
        <w:t>3.7 安全生产信息化建设</w:t>
      </w:r>
      <w:bookmarkEnd w:id="31"/>
      <w:bookmarkEnd w:id="32"/>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企业应根据自身情况，利用信息化手段加强安全生产管理工作。</w:t>
      </w:r>
    </w:p>
    <w:p>
      <w:pPr>
        <w:spacing w:line="400" w:lineRule="atLeast"/>
        <w:jc w:val="center"/>
        <w:outlineLvl w:val="1"/>
        <w:rPr>
          <w:rFonts w:cs="Times New Roman" w:asciiTheme="majorEastAsia" w:hAnsiTheme="majorEastAsia" w:eastAsiaTheme="majorEastAsia"/>
          <w:b/>
          <w:sz w:val="24"/>
          <w:szCs w:val="24"/>
        </w:rPr>
      </w:pPr>
      <w:bookmarkStart w:id="33" w:name="_Toc21592"/>
      <w:bookmarkStart w:id="34" w:name="_Toc18119"/>
      <w:r>
        <w:rPr>
          <w:rFonts w:hint="eastAsia" w:cs="Times New Roman" w:asciiTheme="majorEastAsia" w:hAnsiTheme="majorEastAsia" w:eastAsiaTheme="majorEastAsia"/>
          <w:b/>
          <w:sz w:val="24"/>
          <w:szCs w:val="24"/>
        </w:rPr>
        <w:t>3.8 安全管理制度和安全操作规程</w:t>
      </w:r>
      <w:bookmarkEnd w:id="33"/>
      <w:bookmarkEnd w:id="34"/>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3.8.1</w:t>
      </w:r>
      <w:r>
        <w:rPr>
          <w:rFonts w:cs="Times New Roman" w:asciiTheme="majorEastAsia" w:hAnsiTheme="majorEastAsia" w:eastAsiaTheme="majorEastAsia"/>
          <w:sz w:val="24"/>
          <w:szCs w:val="24"/>
        </w:rPr>
        <w:t>企业应建立健全安全生产规章制度</w:t>
      </w:r>
      <w:r>
        <w:rPr>
          <w:rFonts w:hint="eastAsia" w:cs="Times New Roman" w:asciiTheme="majorEastAsia" w:hAnsiTheme="majorEastAsia" w:eastAsiaTheme="majorEastAsia"/>
          <w:sz w:val="24"/>
          <w:szCs w:val="24"/>
        </w:rPr>
        <w:t>。</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3.8.2</w:t>
      </w:r>
      <w:r>
        <w:rPr>
          <w:rFonts w:cs="Times New Roman" w:asciiTheme="majorEastAsia" w:hAnsiTheme="majorEastAsia" w:eastAsiaTheme="majorEastAsia"/>
          <w:sz w:val="24"/>
          <w:szCs w:val="24"/>
        </w:rPr>
        <w:t>企业应根据燃气储存、输配、技术、设备设施的特点和危险性，编制作业操作规程</w:t>
      </w:r>
      <w:r>
        <w:rPr>
          <w:rFonts w:hint="eastAsia" w:cs="Times New Roman" w:asciiTheme="majorEastAsia" w:hAnsiTheme="majorEastAsia" w:eastAsiaTheme="majorEastAsia"/>
          <w:sz w:val="24"/>
          <w:szCs w:val="24"/>
        </w:rPr>
        <w:t>。</w:t>
      </w:r>
    </w:p>
    <w:p>
      <w:pPr>
        <w:spacing w:line="400" w:lineRule="atLeast"/>
        <w:rPr>
          <w:rFonts w:cs="Times New Roman" w:asciiTheme="majorEastAsia" w:hAnsiTheme="majorEastAsia" w:eastAsiaTheme="majorEastAsia"/>
          <w:b/>
          <w:sz w:val="24"/>
          <w:szCs w:val="24"/>
        </w:rPr>
      </w:pPr>
      <w:r>
        <w:rPr>
          <w:rFonts w:hint="eastAsia" w:cs="Times New Roman" w:asciiTheme="majorEastAsia" w:hAnsiTheme="majorEastAsia" w:eastAsiaTheme="majorEastAsia"/>
          <w:sz w:val="24"/>
          <w:szCs w:val="24"/>
        </w:rPr>
        <w:t>3.8.3 企业应将</w:t>
      </w:r>
      <w:r>
        <w:rPr>
          <w:rFonts w:cs="Times New Roman" w:asciiTheme="majorEastAsia" w:hAnsiTheme="majorEastAsia" w:eastAsiaTheme="majorEastAsia"/>
          <w:sz w:val="24"/>
          <w:szCs w:val="24"/>
        </w:rPr>
        <w:t>安全生产规章制度</w:t>
      </w:r>
      <w:r>
        <w:rPr>
          <w:rFonts w:hint="eastAsia" w:cs="Times New Roman" w:asciiTheme="majorEastAsia" w:hAnsiTheme="majorEastAsia" w:eastAsiaTheme="majorEastAsia"/>
          <w:sz w:val="24"/>
          <w:szCs w:val="24"/>
        </w:rPr>
        <w:t>和</w:t>
      </w:r>
      <w:r>
        <w:rPr>
          <w:rFonts w:cs="Times New Roman" w:asciiTheme="majorEastAsia" w:hAnsiTheme="majorEastAsia" w:eastAsiaTheme="majorEastAsia"/>
          <w:sz w:val="24"/>
          <w:szCs w:val="24"/>
        </w:rPr>
        <w:t>操作规程发放到相关工作岗位，并对员工进行宣贯培训。</w:t>
      </w:r>
    </w:p>
    <w:p>
      <w:pPr>
        <w:spacing w:line="400" w:lineRule="atLeast"/>
        <w:ind w:left="120" w:hanging="120" w:hangingChars="5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3.8</w:t>
      </w:r>
      <w:r>
        <w:rPr>
          <w:rFonts w:cs="Times New Roman" w:asciiTheme="majorEastAsia" w:hAnsiTheme="majorEastAsia" w:eastAsiaTheme="majorEastAsia"/>
          <w:sz w:val="24"/>
          <w:szCs w:val="24"/>
        </w:rPr>
        <w:t>.4企业应定期对安全生产管理制度和安全操作规程</w:t>
      </w:r>
      <w:r>
        <w:rPr>
          <w:rFonts w:hint="eastAsia" w:cs="Times New Roman" w:asciiTheme="majorEastAsia" w:hAnsiTheme="majorEastAsia" w:eastAsiaTheme="majorEastAsia"/>
          <w:sz w:val="24"/>
          <w:szCs w:val="24"/>
        </w:rPr>
        <w:t>、维护保养规程</w:t>
      </w:r>
      <w:r>
        <w:rPr>
          <w:rFonts w:cs="Times New Roman" w:asciiTheme="majorEastAsia" w:hAnsiTheme="majorEastAsia" w:eastAsiaTheme="majorEastAsia"/>
          <w:sz w:val="24"/>
          <w:szCs w:val="24"/>
        </w:rPr>
        <w:t>的落实情况进行抽查考核。</w:t>
      </w:r>
    </w:p>
    <w:p>
      <w:pPr>
        <w:spacing w:line="400" w:lineRule="atLeast"/>
        <w:ind w:left="120" w:hanging="120" w:hangingChars="5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3.8</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5</w:t>
      </w:r>
      <w:r>
        <w:rPr>
          <w:rFonts w:cs="Times New Roman" w:asciiTheme="majorEastAsia" w:hAnsiTheme="majorEastAsia" w:eastAsiaTheme="majorEastAsia"/>
          <w:sz w:val="24"/>
          <w:szCs w:val="24"/>
        </w:rPr>
        <w:t>企业应根据安全检查反馈问题的评估情况、生产安全事故案例、绩效评定结果等，对安全生产管理规章制度和操作规程进行修订，确保其有效性和适用性，保证每个岗位所使用的均为有最新的有效版本。</w:t>
      </w:r>
    </w:p>
    <w:p>
      <w:pPr>
        <w:spacing w:line="400" w:lineRule="atLeast"/>
        <w:ind w:left="120" w:hanging="120" w:hangingChars="5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3.8.6 企业应建立双重防控机制，并对危险作业进行审批。</w:t>
      </w:r>
    </w:p>
    <w:p>
      <w:pPr>
        <w:spacing w:line="400" w:lineRule="atLeast"/>
        <w:ind w:left="120" w:hanging="120" w:hangingChars="50"/>
        <w:jc w:val="center"/>
        <w:outlineLvl w:val="1"/>
        <w:rPr>
          <w:rFonts w:cs="Times New Roman" w:asciiTheme="majorEastAsia" w:hAnsiTheme="majorEastAsia" w:eastAsiaTheme="majorEastAsia"/>
          <w:b/>
          <w:sz w:val="24"/>
          <w:szCs w:val="24"/>
        </w:rPr>
      </w:pPr>
      <w:bookmarkStart w:id="35" w:name="_Toc31083"/>
      <w:bookmarkStart w:id="36" w:name="_Toc7249"/>
      <w:r>
        <w:rPr>
          <w:rFonts w:hint="eastAsia" w:cs="Times New Roman" w:asciiTheme="majorEastAsia" w:hAnsiTheme="majorEastAsia" w:eastAsiaTheme="majorEastAsia"/>
          <w:b/>
          <w:sz w:val="24"/>
          <w:szCs w:val="24"/>
        </w:rPr>
        <w:t>3.9 安全教育培训</w:t>
      </w:r>
      <w:bookmarkEnd w:id="35"/>
      <w:bookmarkEnd w:id="36"/>
    </w:p>
    <w:p>
      <w:pPr>
        <w:spacing w:line="400" w:lineRule="atLeast"/>
        <w:ind w:left="120" w:hanging="120" w:hangingChars="50"/>
        <w:rPr>
          <w:rFonts w:cs="Times New Roman" w:asciiTheme="majorEastAsia" w:hAnsiTheme="majorEastAsia" w:eastAsiaTheme="majorEastAsia"/>
          <w:bCs/>
          <w:sz w:val="24"/>
          <w:szCs w:val="24"/>
        </w:rPr>
      </w:pPr>
      <w:r>
        <w:rPr>
          <w:rFonts w:hint="eastAsia" w:cs="Times New Roman" w:asciiTheme="majorEastAsia" w:hAnsiTheme="majorEastAsia" w:eastAsiaTheme="majorEastAsia"/>
          <w:bCs/>
          <w:sz w:val="24"/>
          <w:szCs w:val="24"/>
        </w:rPr>
        <w:t>3.9.1 教育培训管理应符合下列规定：</w:t>
      </w:r>
    </w:p>
    <w:p>
      <w:pPr>
        <w:spacing w:line="400" w:lineRule="atLeast"/>
        <w:ind w:left="105" w:leftChars="50" w:firstLine="240" w:firstLineChars="1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企业应严格执行安全教育培训制度，依据国家、地方及行业规定</w:t>
      </w:r>
      <w:r>
        <w:rPr>
          <w:rFonts w:hint="eastAsia" w:cs="Times New Roman" w:asciiTheme="majorEastAsia" w:hAnsiTheme="majorEastAsia" w:eastAsiaTheme="majorEastAsia"/>
          <w:sz w:val="24"/>
          <w:szCs w:val="24"/>
        </w:rPr>
        <w:t>和</w:t>
      </w:r>
      <w:r>
        <w:rPr>
          <w:rFonts w:cs="Times New Roman" w:asciiTheme="majorEastAsia" w:hAnsiTheme="majorEastAsia" w:eastAsiaTheme="majorEastAsia"/>
          <w:sz w:val="24"/>
          <w:szCs w:val="24"/>
        </w:rPr>
        <w:t>岗位实际需要，制定适宜的安全教育培训目标和要求。定期收集、汇总安全教育培训需求，根据实际情况和培训目标，制定并实施安全教育培训计划。</w:t>
      </w:r>
    </w:p>
    <w:p>
      <w:pPr>
        <w:spacing w:line="400" w:lineRule="atLeast"/>
        <w:ind w:left="105" w:leftChars="50" w:firstLine="240" w:firstLineChars="1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 企业应组织安全教育培训。</w:t>
      </w:r>
    </w:p>
    <w:p>
      <w:pPr>
        <w:spacing w:line="400" w:lineRule="atLeast"/>
        <w:ind w:left="105" w:leftChars="50" w:firstLine="240" w:firstLineChars="1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 企业应建立从业人员安全培训教育台账。</w:t>
      </w:r>
    </w:p>
    <w:p>
      <w:pPr>
        <w:spacing w:line="400" w:lineRule="atLeast"/>
        <w:ind w:left="105" w:leftChars="50" w:firstLine="240" w:firstLineChars="1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 企业应对培训教育效果进行评价。</w:t>
      </w:r>
    </w:p>
    <w:p>
      <w:pPr>
        <w:spacing w:line="400" w:lineRule="atLeast"/>
        <w:ind w:left="120" w:hanging="120" w:hangingChars="50"/>
        <w:rPr>
          <w:rFonts w:cs="Times New Roman" w:asciiTheme="majorEastAsia" w:hAnsiTheme="majorEastAsia" w:eastAsiaTheme="majorEastAsia"/>
          <w:bCs/>
          <w:sz w:val="24"/>
          <w:szCs w:val="24"/>
        </w:rPr>
      </w:pPr>
      <w:r>
        <w:rPr>
          <w:rFonts w:hint="eastAsia" w:cs="Times New Roman" w:asciiTheme="majorEastAsia" w:hAnsiTheme="majorEastAsia" w:eastAsiaTheme="majorEastAsia"/>
          <w:bCs/>
          <w:sz w:val="24"/>
          <w:szCs w:val="24"/>
        </w:rPr>
        <w:t>3.9.2 安全生产管理人员教育培训</w:t>
      </w:r>
    </w:p>
    <w:p>
      <w:pPr>
        <w:spacing w:line="400" w:lineRule="atLeast"/>
        <w:ind w:left="105" w:leftChars="50" w:firstLine="240" w:firstLineChars="100"/>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企业主要负责人和安全生产管理人员应持证上岗，应具备与本单位所从事的生产经营活动相适应的安全生产知识和管理能力</w:t>
      </w:r>
      <w:r>
        <w:rPr>
          <w:rFonts w:hint="eastAsia" w:cs="Times New Roman" w:asciiTheme="majorEastAsia" w:hAnsiTheme="majorEastAsia" w:eastAsiaTheme="majorEastAsia"/>
          <w:sz w:val="24"/>
          <w:szCs w:val="24"/>
        </w:rPr>
        <w:t>。法律法规要求必须对其安全生产知识和管理能力进行考核的，须经考核合格后方可任职。</w:t>
      </w:r>
    </w:p>
    <w:p>
      <w:pPr>
        <w:spacing w:line="400" w:lineRule="atLeast"/>
        <w:ind w:left="120" w:hanging="120" w:hangingChars="50"/>
        <w:rPr>
          <w:rFonts w:cs="Times New Roman" w:asciiTheme="majorEastAsia" w:hAnsiTheme="majorEastAsia" w:eastAsiaTheme="majorEastAsia"/>
          <w:bCs/>
          <w:sz w:val="24"/>
          <w:szCs w:val="24"/>
        </w:rPr>
      </w:pPr>
      <w:r>
        <w:rPr>
          <w:rFonts w:hint="eastAsia" w:cs="Times New Roman" w:asciiTheme="majorEastAsia" w:hAnsiTheme="majorEastAsia" w:eastAsiaTheme="majorEastAsia"/>
          <w:bCs/>
          <w:sz w:val="24"/>
          <w:szCs w:val="24"/>
        </w:rPr>
        <w:t>3.9.3 操作岗位人员教育培训应符合下列规定：</w:t>
      </w:r>
    </w:p>
    <w:p>
      <w:pPr>
        <w:spacing w:line="400" w:lineRule="atLeast"/>
        <w:ind w:left="105" w:leftChars="50" w:firstLine="240" w:firstLineChars="1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 企业应对操作岗位人员进行安全教育和生产技能培训，使其熟悉有关的安全生产规章制度和安全操作规程，并确认其能力符合岗位要求。未经安全教育培训，或培训考核不合格的从业人员，不得上岗作业。</w:t>
      </w:r>
    </w:p>
    <w:p>
      <w:pPr>
        <w:spacing w:line="400" w:lineRule="atLeast"/>
        <w:ind w:left="105" w:leftChars="50" w:firstLine="240" w:firstLineChars="1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新入职人员在上岗前应经过三级安全教育培训。</w:t>
      </w:r>
    </w:p>
    <w:p>
      <w:pPr>
        <w:spacing w:line="400" w:lineRule="atLeast"/>
        <w:ind w:firstLine="360" w:firstLineChars="15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w:t>
      </w:r>
      <w:r>
        <w:rPr>
          <w:rFonts w:cs="Times New Roman" w:asciiTheme="majorEastAsia" w:hAnsiTheme="majorEastAsia" w:eastAsiaTheme="majorEastAsia"/>
          <w:sz w:val="24"/>
          <w:szCs w:val="24"/>
        </w:rPr>
        <w:t>操作岗位人员转岗或离岗半年以上重新上岗者，应进行安全教育培训，经考核合格后，方可上岗。</w:t>
      </w:r>
    </w:p>
    <w:p>
      <w:pPr>
        <w:spacing w:line="400" w:lineRule="atLeast"/>
        <w:ind w:firstLine="360" w:firstLineChars="15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w:t>
      </w:r>
      <w:r>
        <w:rPr>
          <w:rFonts w:cs="Times New Roman" w:asciiTheme="majorEastAsia" w:hAnsiTheme="majorEastAsia" w:eastAsiaTheme="majorEastAsia"/>
          <w:sz w:val="24"/>
          <w:szCs w:val="24"/>
        </w:rPr>
        <w:t>在新工艺、新技术、新材料、新设备设施投入使用前，应对有关操作岗位人员进行专门的安全教育和培训，经考核合格后，方可上岗。</w:t>
      </w:r>
    </w:p>
    <w:p>
      <w:pPr>
        <w:spacing w:line="400" w:lineRule="atLeast"/>
        <w:ind w:firstLine="360" w:firstLineChars="15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5</w:t>
      </w:r>
      <w:r>
        <w:rPr>
          <w:rFonts w:cs="Times New Roman" w:asciiTheme="majorEastAsia" w:hAnsiTheme="majorEastAsia" w:eastAsiaTheme="majorEastAsia"/>
          <w:sz w:val="24"/>
          <w:szCs w:val="24"/>
        </w:rPr>
        <w:t>企业特种作业人员应按有关规定参加安全教育培训，取得特种作业操作证，方可上岗作业，并定期复审。</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3.9.4 其他人员教育培训应符合下列规定：</w:t>
      </w:r>
    </w:p>
    <w:p>
      <w:pPr>
        <w:spacing w:line="400" w:lineRule="atLeast"/>
        <w:ind w:firstLine="360" w:firstLineChars="15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 企业应对相关方的作业人员进行安全教育培训，包括：承包商、供应商、以及临时外聘人员。</w:t>
      </w:r>
    </w:p>
    <w:p>
      <w:pPr>
        <w:spacing w:line="400" w:lineRule="atLeast"/>
        <w:ind w:firstLine="360" w:firstLineChars="15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 企业应对外来参观、学习等人员进行有关安全规定、可能接触到的危害及应急知识的教育和告知。</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3.9.5企业应</w:t>
      </w:r>
      <w:r>
        <w:rPr>
          <w:rFonts w:cs="Times New Roman" w:asciiTheme="majorEastAsia" w:hAnsiTheme="majorEastAsia" w:eastAsiaTheme="majorEastAsia"/>
          <w:sz w:val="24"/>
          <w:szCs w:val="24"/>
        </w:rPr>
        <w:t>定期开展安全宣传</w:t>
      </w:r>
      <w:r>
        <w:rPr>
          <w:rFonts w:hint="eastAsia" w:cs="Times New Roman" w:asciiTheme="majorEastAsia" w:hAnsiTheme="majorEastAsia" w:eastAsiaTheme="majorEastAsia"/>
          <w:sz w:val="24"/>
          <w:szCs w:val="24"/>
        </w:rPr>
        <w:t>。</w:t>
      </w:r>
    </w:p>
    <w:p>
      <w:pPr>
        <w:spacing w:line="400" w:lineRule="atLeast"/>
        <w:jc w:val="center"/>
        <w:outlineLvl w:val="1"/>
        <w:rPr>
          <w:rFonts w:cs="Times New Roman" w:asciiTheme="majorEastAsia" w:hAnsiTheme="majorEastAsia" w:eastAsiaTheme="majorEastAsia"/>
          <w:b/>
          <w:sz w:val="24"/>
          <w:szCs w:val="24"/>
        </w:rPr>
      </w:pPr>
      <w:bookmarkStart w:id="37" w:name="_Toc16711"/>
      <w:bookmarkStart w:id="38" w:name="_Toc15949"/>
      <w:r>
        <w:rPr>
          <w:rFonts w:hint="eastAsia" w:cs="Times New Roman" w:asciiTheme="majorEastAsia" w:hAnsiTheme="majorEastAsia" w:eastAsiaTheme="majorEastAsia"/>
          <w:b/>
          <w:sz w:val="24"/>
          <w:szCs w:val="24"/>
        </w:rPr>
        <w:t>3.10 抢险与事故管理</w:t>
      </w:r>
      <w:bookmarkEnd w:id="37"/>
      <w:bookmarkEnd w:id="38"/>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3.10.1 企业应成立抢险队，抢险队应配备负责人。抢险人员应经过专业技能培训并考核合格。</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3.10.2 抢险队伍应配备必备的抢险设施，并定期检查。</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3.10.3</w:t>
      </w:r>
      <w:r>
        <w:rPr>
          <w:rFonts w:cs="Times New Roman" w:asciiTheme="majorEastAsia" w:hAnsiTheme="majorEastAsia" w:eastAsiaTheme="majorEastAsia"/>
          <w:sz w:val="24"/>
          <w:szCs w:val="24"/>
        </w:rPr>
        <w:t>企业应建立应急指挥系统，实行分级管理。</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3.10.4</w:t>
      </w:r>
      <w:r>
        <w:rPr>
          <w:rFonts w:cs="Times New Roman" w:asciiTheme="majorEastAsia" w:hAnsiTheme="majorEastAsia" w:eastAsiaTheme="majorEastAsia"/>
          <w:sz w:val="24"/>
          <w:szCs w:val="24"/>
        </w:rPr>
        <w:t>企业应依据</w:t>
      </w:r>
      <w:r>
        <w:rPr>
          <w:rFonts w:ascii="Times New Roman" w:hAnsi="Times New Roman" w:cs="Times New Roman" w:eastAsiaTheme="majorEastAsia"/>
          <w:sz w:val="24"/>
          <w:szCs w:val="24"/>
        </w:rPr>
        <w:t>GB/T 29639</w:t>
      </w:r>
      <w:r>
        <w:rPr>
          <w:rFonts w:cs="Times New Roman" w:asciiTheme="majorEastAsia" w:hAnsiTheme="majorEastAsia" w:eastAsiaTheme="majorEastAsia"/>
          <w:sz w:val="24"/>
          <w:szCs w:val="24"/>
        </w:rPr>
        <w:t>的要求，制订完整的应急预案</w:t>
      </w:r>
      <w:r>
        <w:rPr>
          <w:rFonts w:hint="eastAsia" w:cs="Times New Roman" w:asciiTheme="majorEastAsia" w:hAnsiTheme="majorEastAsia" w:eastAsiaTheme="majorEastAsia"/>
          <w:sz w:val="24"/>
          <w:szCs w:val="24"/>
        </w:rPr>
        <w:t>。</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3.10.5</w:t>
      </w:r>
      <w:r>
        <w:rPr>
          <w:rFonts w:cs="Times New Roman" w:asciiTheme="majorEastAsia" w:hAnsiTheme="majorEastAsia" w:eastAsiaTheme="majorEastAsia"/>
          <w:sz w:val="24"/>
          <w:szCs w:val="24"/>
        </w:rPr>
        <w:t>针对企业抢险遇到的燃气站点事故、燃气运输事故、燃气用户事故</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建立完整的现场处置方案</w:t>
      </w:r>
      <w:r>
        <w:rPr>
          <w:rFonts w:hint="eastAsia" w:cs="Times New Roman" w:asciiTheme="majorEastAsia" w:hAnsiTheme="majorEastAsia" w:eastAsiaTheme="majorEastAsia"/>
          <w:sz w:val="24"/>
          <w:szCs w:val="24"/>
        </w:rPr>
        <w:t>。</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3.10.6</w:t>
      </w:r>
      <w:r>
        <w:rPr>
          <w:rFonts w:cs="Times New Roman" w:asciiTheme="majorEastAsia" w:hAnsiTheme="majorEastAsia" w:eastAsiaTheme="majorEastAsia"/>
          <w:sz w:val="24"/>
          <w:szCs w:val="24"/>
        </w:rPr>
        <w:t>企业</w:t>
      </w:r>
      <w:r>
        <w:rPr>
          <w:rFonts w:hint="eastAsia" w:cs="Times New Roman" w:asciiTheme="majorEastAsia" w:hAnsiTheme="majorEastAsia" w:eastAsiaTheme="majorEastAsia"/>
          <w:sz w:val="24"/>
          <w:szCs w:val="24"/>
        </w:rPr>
        <w:t>生产安全事故应急预案</w:t>
      </w:r>
      <w:r>
        <w:rPr>
          <w:rFonts w:cs="Times New Roman" w:asciiTheme="majorEastAsia" w:hAnsiTheme="majorEastAsia" w:eastAsiaTheme="majorEastAsia"/>
          <w:sz w:val="24"/>
          <w:szCs w:val="24"/>
        </w:rPr>
        <w:t>应按要求向相关政府部门备案</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cr/>
      </w:r>
      <w:r>
        <w:rPr>
          <w:rFonts w:hint="eastAsia" w:cs="Times New Roman" w:asciiTheme="majorEastAsia" w:hAnsiTheme="majorEastAsia" w:eastAsiaTheme="majorEastAsia"/>
          <w:sz w:val="24"/>
          <w:szCs w:val="24"/>
        </w:rPr>
        <w:t>3.10.7</w:t>
      </w:r>
      <w:r>
        <w:rPr>
          <w:rFonts w:cs="Times New Roman" w:asciiTheme="majorEastAsia" w:hAnsiTheme="majorEastAsia" w:eastAsiaTheme="majorEastAsia"/>
          <w:sz w:val="24"/>
          <w:szCs w:val="24"/>
        </w:rPr>
        <w:t>企业应定期评审修订应急救援预案。</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3.10.8 企业应定期开展安全事故应急预案培训与演练。</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3.10.9</w:t>
      </w:r>
      <w:r>
        <w:rPr>
          <w:rFonts w:cs="Times New Roman" w:asciiTheme="majorEastAsia" w:hAnsiTheme="majorEastAsia" w:eastAsiaTheme="majorEastAsia"/>
          <w:sz w:val="24"/>
          <w:szCs w:val="24"/>
        </w:rPr>
        <w:t>企业应建立事故管理台帐，明确事故报告程序。</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3.10.10</w:t>
      </w:r>
      <w:r>
        <w:rPr>
          <w:rFonts w:cs="Times New Roman" w:asciiTheme="majorEastAsia" w:hAnsiTheme="majorEastAsia" w:eastAsiaTheme="majorEastAsia"/>
          <w:sz w:val="24"/>
          <w:szCs w:val="24"/>
        </w:rPr>
        <w:t>企业发生生产安全事故后，应按照事故分类分级规定，迅速启动相应的应急救援预案，积极组织抢险与救援，妥善处理，控制事态，减少人员伤亡和财产损失。</w:t>
      </w:r>
      <w:r>
        <w:rPr>
          <w:rFonts w:cs="Times New Roman" w:asciiTheme="majorEastAsia" w:hAnsiTheme="majorEastAsia" w:eastAsiaTheme="majorEastAsia"/>
          <w:sz w:val="24"/>
          <w:szCs w:val="24"/>
        </w:rPr>
        <w:cr/>
      </w:r>
      <w:r>
        <w:rPr>
          <w:rFonts w:hint="eastAsia" w:cs="Times New Roman" w:asciiTheme="majorEastAsia" w:hAnsiTheme="majorEastAsia" w:eastAsiaTheme="majorEastAsia"/>
          <w:sz w:val="24"/>
          <w:szCs w:val="24"/>
        </w:rPr>
        <w:t>3.10.11</w:t>
      </w:r>
      <w:r>
        <w:rPr>
          <w:rFonts w:cs="Times New Roman" w:asciiTheme="majorEastAsia" w:hAnsiTheme="majorEastAsia" w:eastAsiaTheme="majorEastAsia"/>
          <w:sz w:val="24"/>
          <w:szCs w:val="24"/>
        </w:rPr>
        <w:t>企业发生生产安全事故后，应积极配合各级人民政府组织的事故调查，负责人和有关人员在事故调查期间严禁擅离职守，应当随时接受事故调查组的询问，如实提供有关情况。</w:t>
      </w:r>
    </w:p>
    <w:p>
      <w:pPr>
        <w:spacing w:line="400" w:lineRule="atLeast"/>
        <w:jc w:val="center"/>
        <w:outlineLvl w:val="1"/>
        <w:rPr>
          <w:rFonts w:cs="Times New Roman" w:asciiTheme="majorEastAsia" w:hAnsiTheme="majorEastAsia" w:eastAsiaTheme="majorEastAsia"/>
          <w:b/>
          <w:sz w:val="24"/>
          <w:szCs w:val="24"/>
        </w:rPr>
      </w:pPr>
      <w:bookmarkStart w:id="39" w:name="_Toc21455"/>
      <w:bookmarkStart w:id="40" w:name="_Toc21896"/>
      <w:r>
        <w:rPr>
          <w:rFonts w:hint="eastAsia" w:cs="Times New Roman" w:asciiTheme="majorEastAsia" w:hAnsiTheme="majorEastAsia" w:eastAsiaTheme="majorEastAsia"/>
          <w:b/>
          <w:sz w:val="24"/>
          <w:szCs w:val="24"/>
        </w:rPr>
        <w:t xml:space="preserve">3.11 </w:t>
      </w:r>
      <w:r>
        <w:rPr>
          <w:rFonts w:cs="Times New Roman" w:asciiTheme="majorEastAsia" w:hAnsiTheme="majorEastAsia" w:eastAsiaTheme="majorEastAsia"/>
          <w:b/>
          <w:sz w:val="24"/>
          <w:szCs w:val="24"/>
        </w:rPr>
        <w:t>安全检查</w:t>
      </w:r>
      <w:r>
        <w:rPr>
          <w:rFonts w:hint="eastAsia" w:cs="Times New Roman" w:asciiTheme="majorEastAsia" w:hAnsiTheme="majorEastAsia" w:eastAsiaTheme="majorEastAsia"/>
          <w:b/>
          <w:sz w:val="24"/>
          <w:szCs w:val="24"/>
        </w:rPr>
        <w:t>与</w:t>
      </w:r>
      <w:r>
        <w:rPr>
          <w:rFonts w:cs="Times New Roman" w:asciiTheme="majorEastAsia" w:hAnsiTheme="majorEastAsia" w:eastAsiaTheme="majorEastAsia"/>
          <w:b/>
          <w:sz w:val="24"/>
          <w:szCs w:val="24"/>
        </w:rPr>
        <w:t>隐患整改</w:t>
      </w:r>
      <w:bookmarkEnd w:id="39"/>
      <w:bookmarkEnd w:id="40"/>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3.11</w:t>
      </w:r>
      <w:r>
        <w:rPr>
          <w:rFonts w:cs="Times New Roman" w:asciiTheme="majorEastAsia" w:hAnsiTheme="majorEastAsia" w:eastAsiaTheme="majorEastAsia"/>
          <w:sz w:val="24"/>
          <w:szCs w:val="24"/>
        </w:rPr>
        <w:t>.1企业应严格执行安全检查管理制度，制订各类安全检查表，定期或不定期进行安全检查。</w:t>
      </w:r>
      <w:r>
        <w:rPr>
          <w:rFonts w:cs="Times New Roman" w:asciiTheme="majorEastAsia" w:hAnsiTheme="majorEastAsia" w:eastAsiaTheme="majorEastAsia"/>
          <w:sz w:val="24"/>
          <w:szCs w:val="24"/>
        </w:rPr>
        <w:cr/>
      </w:r>
      <w:r>
        <w:rPr>
          <w:rFonts w:hint="eastAsia" w:cs="Times New Roman" w:asciiTheme="majorEastAsia" w:hAnsiTheme="majorEastAsia" w:eastAsiaTheme="majorEastAsia"/>
          <w:sz w:val="24"/>
          <w:szCs w:val="24"/>
        </w:rPr>
        <w:t>3.11</w:t>
      </w:r>
      <w:r>
        <w:rPr>
          <w:rFonts w:cs="Times New Roman" w:asciiTheme="majorEastAsia" w:hAnsiTheme="majorEastAsia" w:eastAsiaTheme="majorEastAsia"/>
          <w:sz w:val="24"/>
          <w:szCs w:val="24"/>
        </w:rPr>
        <w:t>.2企业应制订安全检查计划，根据安全检查计划，开展检查，并建立安全检查记录台账。</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3.11.3</w:t>
      </w:r>
      <w:r>
        <w:rPr>
          <w:rFonts w:cs="Times New Roman" w:asciiTheme="majorEastAsia" w:hAnsiTheme="majorEastAsia" w:eastAsiaTheme="majorEastAsia"/>
          <w:sz w:val="24"/>
          <w:szCs w:val="24"/>
        </w:rPr>
        <w:t>企业应对安全检查发现的隐患进行分析评估，确定隐患等级，登记建档，制定隐患治理方案，对隐患及时进行治理。</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3.11.4企业安全监督检查表包括政府燃气管理部门对企业开展安全监督检查内容（见附录</w:t>
      </w:r>
      <w:r>
        <w:rPr>
          <w:rFonts w:ascii="Times New Roman" w:hAnsi="Times New Roman" w:cs="Times New Roman" w:eastAsiaTheme="majorEastAsia"/>
          <w:sz w:val="24"/>
          <w:szCs w:val="24"/>
        </w:rPr>
        <w:t>A</w:t>
      </w:r>
      <w:r>
        <w:rPr>
          <w:rFonts w:hint="eastAsia" w:cs="Times New Roman" w:asciiTheme="majorEastAsia" w:hAnsiTheme="majorEastAsia" w:eastAsiaTheme="majorEastAsia"/>
          <w:sz w:val="24"/>
          <w:szCs w:val="24"/>
        </w:rPr>
        <w:t>）、企业开展安全自查以及对站点开展安全检查内容（见附录</w:t>
      </w:r>
      <w:r>
        <w:rPr>
          <w:rFonts w:ascii="Times New Roman" w:hAnsi="Times New Roman" w:cs="Times New Roman" w:eastAsiaTheme="majorEastAsia"/>
          <w:sz w:val="24"/>
          <w:szCs w:val="24"/>
        </w:rPr>
        <w:t>B</w:t>
      </w:r>
      <w:r>
        <w:rPr>
          <w:rFonts w:hint="eastAsia" w:cs="Times New Roman" w:asciiTheme="majorEastAsia" w:hAnsiTheme="majorEastAsia" w:eastAsiaTheme="majorEastAsia"/>
          <w:sz w:val="24"/>
          <w:szCs w:val="24"/>
        </w:rPr>
        <w:t>）。</w:t>
      </w:r>
    </w:p>
    <w:p>
      <w:pPr>
        <w:spacing w:line="400" w:lineRule="atLeast"/>
        <w:jc w:val="center"/>
        <w:outlineLvl w:val="0"/>
        <w:rPr>
          <w:rFonts w:cs="Times New Roman" w:asciiTheme="majorEastAsia" w:hAnsiTheme="majorEastAsia" w:eastAsiaTheme="majorEastAsia"/>
          <w:b/>
          <w:sz w:val="24"/>
          <w:szCs w:val="24"/>
        </w:rPr>
      </w:pPr>
      <w:bookmarkStart w:id="41" w:name="_Toc9559"/>
      <w:bookmarkStart w:id="42" w:name="_Toc29622"/>
      <w:r>
        <w:rPr>
          <w:rFonts w:hint="eastAsia" w:cs="Times New Roman" w:asciiTheme="majorEastAsia" w:hAnsiTheme="majorEastAsia" w:eastAsiaTheme="majorEastAsia"/>
          <w:b/>
          <w:sz w:val="24"/>
          <w:szCs w:val="24"/>
        </w:rPr>
        <w:t>4 液化天然气、压缩天然气汽车加气站安全</w:t>
      </w:r>
      <w:r>
        <w:rPr>
          <w:rFonts w:cs="Times New Roman" w:asciiTheme="majorEastAsia" w:hAnsiTheme="majorEastAsia" w:eastAsiaTheme="majorEastAsia"/>
          <w:b/>
          <w:sz w:val="24"/>
          <w:szCs w:val="24"/>
        </w:rPr>
        <w:t>管理</w:t>
      </w:r>
      <w:bookmarkEnd w:id="41"/>
      <w:bookmarkEnd w:id="42"/>
    </w:p>
    <w:p>
      <w:pPr>
        <w:spacing w:line="400" w:lineRule="atLeast"/>
        <w:outlineLvl w:val="1"/>
        <w:rPr>
          <w:rFonts w:cs="Times New Roman" w:asciiTheme="majorEastAsia" w:hAnsiTheme="majorEastAsia" w:eastAsiaTheme="majorEastAsia"/>
          <w:sz w:val="24"/>
          <w:szCs w:val="24"/>
        </w:rPr>
      </w:pPr>
      <w:bookmarkStart w:id="43" w:name="_Toc27913"/>
      <w:bookmarkStart w:id="44" w:name="_Toc11590"/>
      <w:r>
        <w:rPr>
          <w:rFonts w:hint="eastAsia" w:cs="Times New Roman" w:asciiTheme="majorEastAsia" w:hAnsiTheme="majorEastAsia" w:eastAsiaTheme="majorEastAsia"/>
          <w:sz w:val="24"/>
          <w:szCs w:val="24"/>
        </w:rPr>
        <w:t>4.1 安全生产基础管理应符合下列规定：</w:t>
      </w:r>
      <w:bookmarkEnd w:id="43"/>
      <w:bookmarkEnd w:id="44"/>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4.1.1 应按照规定配备符合岗位要求的人员。</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4.1.2 应严格执行安全教育培训制度，制定并实施安全教育培训计划。并建立安全教育台账。</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4.1.3 应严格遵守汽车加气运营企业制定的安全管理制度和安全操作规程。将安全生产制度和操作规程发放到相关工作岗位，在作业场所醒目位置悬挂安全操作规程，并对员工进行培训。</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4.1.4 应定期对安全管理制度和安全操作规程的落实情况进行检查考核。</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4.1.5 应按照企业的应急管理制度、规定开展液化天然气汽车加气站应急管理工作。</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4.1.6 设备设施管理应符合下列规定：</w:t>
      </w:r>
    </w:p>
    <w:p>
      <w:pPr>
        <w:spacing w:line="400" w:lineRule="atLeast"/>
        <w:ind w:firstLine="360" w:firstLineChars="15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 应按规定建立完整、准确的设备设施技术档案和台账。</w:t>
      </w:r>
    </w:p>
    <w:p>
      <w:pPr>
        <w:spacing w:line="400" w:lineRule="atLeast"/>
        <w:ind w:firstLine="360" w:firstLineChars="15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 应制定并严格执行设备设施维护管理制度，落实维护周期、维护内容、维护程序、维护保养标准。</w:t>
      </w:r>
    </w:p>
    <w:p>
      <w:pPr>
        <w:spacing w:line="400" w:lineRule="atLeast"/>
        <w:ind w:firstLine="360" w:firstLineChars="15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 应建立特种设备安全技术档案。</w:t>
      </w:r>
    </w:p>
    <w:p>
      <w:pPr>
        <w:spacing w:line="400" w:lineRule="atLeast"/>
        <w:ind w:firstLine="360" w:firstLineChars="15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 特种设备投入使用前或者投入使用后三十日内，企业应向特种设备监督管理部门登记注册。登记标志应当置于或者附着于该特种设备的显著位置。</w:t>
      </w:r>
    </w:p>
    <w:p>
      <w:pPr>
        <w:spacing w:line="400" w:lineRule="atLeast"/>
        <w:ind w:firstLine="360" w:firstLineChars="15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5 对在用特种设备及其安全附件、安全保护装置、监控仪器仪表进行经常性检查维护和定期校验、检修，并保存记录。</w:t>
      </w:r>
    </w:p>
    <w:p>
      <w:pPr>
        <w:spacing w:line="400" w:lineRule="atLeast"/>
        <w:ind w:firstLine="360" w:firstLineChars="15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6 其余设备设施的使用、检测、维修，应符合有关法律法规、标准规范的要求。</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4.1.7企业应定期检测供气压力、天然气组分等，按规定时间留存记录。燃气质量应符合</w:t>
      </w:r>
      <w:r>
        <w:rPr>
          <w:rFonts w:ascii="Times New Roman" w:hAnsi="Times New Roman" w:cs="Times New Roman" w:eastAsiaTheme="majorEastAsia"/>
          <w:sz w:val="24"/>
          <w:szCs w:val="24"/>
        </w:rPr>
        <w:t>GB 55009</w:t>
      </w:r>
      <w:r>
        <w:rPr>
          <w:rFonts w:hint="eastAsia" w:cs="Times New Roman" w:asciiTheme="majorEastAsia" w:hAnsiTheme="majorEastAsia" w:eastAsiaTheme="majorEastAsia"/>
          <w:sz w:val="24"/>
          <w:szCs w:val="24"/>
        </w:rPr>
        <w:t>中的要求。</w:t>
      </w:r>
    </w:p>
    <w:p>
      <w:pPr>
        <w:spacing w:line="400" w:lineRule="atLeast"/>
        <w:rPr>
          <w:rFonts w:cs="Times New Roman" w:asciiTheme="majorEastAsia" w:hAnsiTheme="majorEastAsia" w:eastAsiaTheme="majorEastAsia"/>
          <w:bCs/>
          <w:sz w:val="24"/>
          <w:szCs w:val="24"/>
        </w:rPr>
      </w:pPr>
      <w:r>
        <w:rPr>
          <w:rFonts w:hint="eastAsia" w:cs="Times New Roman" w:asciiTheme="majorEastAsia" w:hAnsiTheme="majorEastAsia" w:eastAsiaTheme="majorEastAsia"/>
          <w:bCs/>
          <w:sz w:val="24"/>
          <w:szCs w:val="24"/>
        </w:rPr>
        <w:t>4.1.8 安全检查与隐患整改应符合下列规定：</w:t>
      </w:r>
    </w:p>
    <w:p>
      <w:pPr>
        <w:spacing w:line="400" w:lineRule="atLeast"/>
        <w:ind w:firstLine="360" w:firstLineChars="15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 应严格执行汽车加气运营企业制定的安全检查制度，制定安全检查计划，开展安全检查，并建立安全检查记录台账。</w:t>
      </w:r>
    </w:p>
    <w:p>
      <w:pPr>
        <w:spacing w:line="400" w:lineRule="atLeast"/>
        <w:ind w:firstLine="360" w:firstLineChars="15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 对安全检查发现的隐患进行分析评估，确定隐患等级，登记建档，制定隐患治理方案，对隐患及时进行治理。</w:t>
      </w:r>
    </w:p>
    <w:p>
      <w:pPr>
        <w:spacing w:line="400" w:lineRule="atLeast"/>
        <w:rPr>
          <w:rFonts w:cs="Times New Roman" w:asciiTheme="majorEastAsia" w:hAnsiTheme="majorEastAsia" w:eastAsiaTheme="majorEastAsia"/>
          <w:bCs/>
          <w:sz w:val="24"/>
          <w:szCs w:val="24"/>
        </w:rPr>
      </w:pPr>
      <w:r>
        <w:rPr>
          <w:rFonts w:hint="eastAsia" w:cs="Times New Roman" w:asciiTheme="majorEastAsia" w:hAnsiTheme="majorEastAsia" w:eastAsiaTheme="majorEastAsia"/>
          <w:bCs/>
          <w:sz w:val="24"/>
          <w:szCs w:val="24"/>
        </w:rPr>
        <w:t>4.1.9 安全管理台账</w:t>
      </w:r>
    </w:p>
    <w:p>
      <w:pPr>
        <w:spacing w:line="400" w:lineRule="atLeast"/>
        <w:ind w:firstLine="420"/>
        <w:rPr>
          <w:rFonts w:cs="Times New Roman" w:asciiTheme="majorEastAsia" w:hAnsiTheme="majorEastAsia" w:eastAsiaTheme="majorEastAsia"/>
          <w:sz w:val="24"/>
          <w:szCs w:val="24"/>
        </w:rPr>
      </w:pPr>
      <w:r>
        <w:rPr>
          <w:rFonts w:hint="eastAsia" w:cs="Times New Roman" w:asciiTheme="majorEastAsia" w:hAnsiTheme="majorEastAsia" w:eastAsiaTheme="majorEastAsia"/>
          <w:bCs/>
          <w:sz w:val="24"/>
          <w:szCs w:val="24"/>
        </w:rPr>
        <w:t>液化天然气、压缩天然汽车加气站</w:t>
      </w:r>
      <w:r>
        <w:rPr>
          <w:rFonts w:hint="eastAsia" w:cs="Times New Roman" w:asciiTheme="majorEastAsia" w:hAnsiTheme="majorEastAsia" w:eastAsiaTheme="majorEastAsia"/>
          <w:sz w:val="24"/>
          <w:szCs w:val="24"/>
        </w:rPr>
        <w:t>应按照相关规定建立安全管理台账。</w:t>
      </w:r>
    </w:p>
    <w:p>
      <w:pPr>
        <w:spacing w:line="400" w:lineRule="atLeast"/>
        <w:outlineLvl w:val="1"/>
        <w:rPr>
          <w:rFonts w:cs="Times New Roman" w:asciiTheme="majorEastAsia" w:hAnsiTheme="majorEastAsia" w:eastAsiaTheme="majorEastAsia"/>
          <w:bCs/>
          <w:sz w:val="24"/>
          <w:szCs w:val="24"/>
        </w:rPr>
      </w:pPr>
      <w:bookmarkStart w:id="45" w:name="_Toc5996"/>
      <w:bookmarkStart w:id="46" w:name="_Toc18382"/>
      <w:r>
        <w:rPr>
          <w:rFonts w:hint="eastAsia" w:cs="Times New Roman" w:asciiTheme="majorEastAsia" w:hAnsiTheme="majorEastAsia" w:eastAsiaTheme="majorEastAsia"/>
          <w:bCs/>
          <w:sz w:val="24"/>
          <w:szCs w:val="24"/>
        </w:rPr>
        <w:t>4.2 现场安全管理应符合下列规定：</w:t>
      </w:r>
      <w:bookmarkEnd w:id="45"/>
      <w:bookmarkEnd w:id="46"/>
    </w:p>
    <w:p>
      <w:pPr>
        <w:spacing w:line="400" w:lineRule="atLeast"/>
        <w:outlineLvl w:val="1"/>
        <w:rPr>
          <w:rFonts w:cs="Times New Roman" w:asciiTheme="majorEastAsia" w:hAnsiTheme="majorEastAsia" w:eastAsiaTheme="majorEastAsia"/>
          <w:sz w:val="24"/>
          <w:szCs w:val="24"/>
        </w:rPr>
      </w:pPr>
      <w:bookmarkStart w:id="47" w:name="_Toc24414"/>
      <w:bookmarkStart w:id="48" w:name="_Toc10603"/>
      <w:r>
        <w:rPr>
          <w:rFonts w:hint="eastAsia" w:cs="Times New Roman" w:asciiTheme="majorEastAsia" w:hAnsiTheme="majorEastAsia" w:eastAsiaTheme="majorEastAsia"/>
          <w:sz w:val="24"/>
          <w:szCs w:val="24"/>
        </w:rPr>
        <w:t>4.2.1</w:t>
      </w:r>
      <w:r>
        <w:rPr>
          <w:rFonts w:hint="eastAsia" w:cs="Times New Roman" w:asciiTheme="majorEastAsia" w:hAnsiTheme="majorEastAsia" w:eastAsiaTheme="majorEastAsia"/>
          <w:bCs/>
          <w:sz w:val="24"/>
          <w:szCs w:val="24"/>
        </w:rPr>
        <w:t>液化天然气、压缩天然气汽车加气站</w:t>
      </w:r>
      <w:r>
        <w:rPr>
          <w:rFonts w:hint="eastAsia" w:cs="Times New Roman" w:asciiTheme="majorEastAsia" w:hAnsiTheme="majorEastAsia" w:eastAsiaTheme="majorEastAsia"/>
          <w:sz w:val="24"/>
          <w:szCs w:val="24"/>
        </w:rPr>
        <w:t>防火间距及其他相关参数应满足</w:t>
      </w:r>
      <w:r>
        <w:rPr>
          <w:rFonts w:ascii="Times New Roman" w:hAnsi="Times New Roman" w:cs="Times New Roman" w:eastAsiaTheme="majorEastAsia"/>
          <w:sz w:val="24"/>
          <w:szCs w:val="24"/>
        </w:rPr>
        <w:t>GB 50156</w:t>
      </w:r>
      <w:r>
        <w:rPr>
          <w:rFonts w:hint="eastAsia" w:cs="Times New Roman" w:asciiTheme="majorEastAsia" w:hAnsiTheme="majorEastAsia" w:eastAsiaTheme="majorEastAsia"/>
          <w:sz w:val="24"/>
          <w:szCs w:val="24"/>
        </w:rPr>
        <w:t>等法规的规定和要求。</w:t>
      </w:r>
      <w:bookmarkEnd w:id="47"/>
      <w:bookmarkEnd w:id="48"/>
    </w:p>
    <w:p>
      <w:pPr>
        <w:spacing w:line="400" w:lineRule="atLeast"/>
        <w:outlineLvl w:val="1"/>
        <w:rPr>
          <w:rFonts w:cs="Times New Roman" w:asciiTheme="majorEastAsia" w:hAnsiTheme="majorEastAsia" w:eastAsiaTheme="majorEastAsia"/>
          <w:bCs/>
          <w:sz w:val="24"/>
          <w:szCs w:val="24"/>
        </w:rPr>
      </w:pPr>
      <w:bookmarkStart w:id="49" w:name="_Toc21418"/>
      <w:bookmarkStart w:id="50" w:name="_Toc22633"/>
      <w:r>
        <w:rPr>
          <w:rFonts w:hint="eastAsia" w:cs="Times New Roman" w:asciiTheme="majorEastAsia" w:hAnsiTheme="majorEastAsia" w:eastAsiaTheme="majorEastAsia"/>
          <w:bCs/>
          <w:sz w:val="24"/>
          <w:szCs w:val="24"/>
        </w:rPr>
        <w:t>4.2.2 液化天然气、压缩天然气汽车加气站车辆加气应按规定开展。</w:t>
      </w:r>
      <w:bookmarkEnd w:id="49"/>
      <w:bookmarkEnd w:id="50"/>
    </w:p>
    <w:p>
      <w:pPr>
        <w:spacing w:line="400" w:lineRule="atLeast"/>
        <w:outlineLvl w:val="1"/>
        <w:rPr>
          <w:rFonts w:cs="Times New Roman" w:asciiTheme="majorEastAsia" w:hAnsiTheme="majorEastAsia" w:eastAsiaTheme="majorEastAsia"/>
          <w:bCs/>
          <w:sz w:val="24"/>
          <w:szCs w:val="24"/>
        </w:rPr>
      </w:pPr>
      <w:bookmarkStart w:id="51" w:name="_Toc22941"/>
      <w:bookmarkStart w:id="52" w:name="_Toc28173"/>
      <w:r>
        <w:rPr>
          <w:rFonts w:hint="eastAsia" w:cs="Times New Roman" w:asciiTheme="majorEastAsia" w:hAnsiTheme="majorEastAsia" w:eastAsiaTheme="majorEastAsia"/>
          <w:bCs/>
          <w:sz w:val="24"/>
          <w:szCs w:val="24"/>
        </w:rPr>
        <w:t>4.2.3 液化天然气、压缩天然气汽车加气站站区环境与值班管理应按规定开展。</w:t>
      </w:r>
      <w:bookmarkEnd w:id="51"/>
      <w:bookmarkEnd w:id="52"/>
    </w:p>
    <w:p>
      <w:pPr>
        <w:spacing w:line="400" w:lineRule="atLeast"/>
        <w:outlineLvl w:val="1"/>
        <w:rPr>
          <w:rFonts w:cs="Times New Roman" w:asciiTheme="majorEastAsia" w:hAnsiTheme="majorEastAsia" w:eastAsiaTheme="majorEastAsia"/>
          <w:bCs/>
          <w:sz w:val="24"/>
          <w:szCs w:val="24"/>
        </w:rPr>
      </w:pPr>
      <w:bookmarkStart w:id="53" w:name="_Toc26112"/>
      <w:bookmarkStart w:id="54" w:name="_Toc20076"/>
      <w:r>
        <w:rPr>
          <w:rFonts w:hint="eastAsia" w:cs="Times New Roman" w:asciiTheme="majorEastAsia" w:hAnsiTheme="majorEastAsia" w:eastAsiaTheme="majorEastAsia"/>
          <w:bCs/>
          <w:sz w:val="24"/>
          <w:szCs w:val="24"/>
        </w:rPr>
        <w:t>4.2.4 液化天然气、压缩天然气汽车加气站加气区的设置、设备设施配备、维护应</w:t>
      </w:r>
      <w:bookmarkEnd w:id="53"/>
      <w:bookmarkEnd w:id="54"/>
      <w:bookmarkStart w:id="55" w:name="_Toc24042"/>
      <w:bookmarkStart w:id="56" w:name="_Toc25089"/>
      <w:r>
        <w:rPr>
          <w:rFonts w:hint="eastAsia" w:cs="Times New Roman" w:asciiTheme="majorEastAsia" w:hAnsiTheme="majorEastAsia" w:eastAsiaTheme="majorEastAsia"/>
          <w:bCs/>
          <w:sz w:val="24"/>
          <w:szCs w:val="24"/>
        </w:rPr>
        <w:t>符合</w:t>
      </w:r>
      <w:r>
        <w:rPr>
          <w:rFonts w:ascii="Times New Roman" w:hAnsi="Times New Roman" w:cs="Times New Roman" w:eastAsiaTheme="majorEastAsia"/>
          <w:bCs/>
          <w:sz w:val="24"/>
          <w:szCs w:val="24"/>
        </w:rPr>
        <w:t>GB25201</w:t>
      </w:r>
      <w:r>
        <w:rPr>
          <w:rFonts w:hint="eastAsia" w:cs="Times New Roman" w:asciiTheme="majorEastAsia" w:hAnsiTheme="majorEastAsia" w:eastAsiaTheme="majorEastAsia"/>
          <w:bCs/>
          <w:sz w:val="24"/>
          <w:szCs w:val="24"/>
        </w:rPr>
        <w:t>等规范的要求。</w:t>
      </w:r>
    </w:p>
    <w:p>
      <w:pPr>
        <w:spacing w:line="400" w:lineRule="atLeast"/>
        <w:outlineLvl w:val="1"/>
        <w:rPr>
          <w:rFonts w:cs="Times New Roman" w:asciiTheme="majorEastAsia" w:hAnsiTheme="majorEastAsia" w:eastAsiaTheme="majorEastAsia"/>
          <w:bCs/>
          <w:sz w:val="24"/>
          <w:szCs w:val="24"/>
        </w:rPr>
      </w:pPr>
      <w:r>
        <w:rPr>
          <w:rFonts w:hint="eastAsia" w:cs="Times New Roman" w:asciiTheme="majorEastAsia" w:hAnsiTheme="majorEastAsia" w:eastAsiaTheme="majorEastAsia"/>
          <w:bCs/>
          <w:sz w:val="24"/>
          <w:szCs w:val="24"/>
        </w:rPr>
        <w:t>4.2.5 液化天然气、压缩天然气汽车加气站储罐区及管道系统的设置、管理</w:t>
      </w:r>
      <w:bookmarkEnd w:id="55"/>
      <w:bookmarkEnd w:id="56"/>
      <w:r>
        <w:rPr>
          <w:rFonts w:hint="eastAsia" w:cs="Times New Roman" w:asciiTheme="majorEastAsia" w:hAnsiTheme="majorEastAsia" w:eastAsiaTheme="majorEastAsia"/>
          <w:bCs/>
          <w:sz w:val="24"/>
          <w:szCs w:val="24"/>
        </w:rPr>
        <w:t>应符合</w:t>
      </w:r>
      <w:r>
        <w:rPr>
          <w:rFonts w:ascii="Times New Roman" w:hAnsi="Times New Roman" w:cs="Times New Roman" w:eastAsiaTheme="majorEastAsia"/>
          <w:bCs/>
          <w:sz w:val="24"/>
          <w:szCs w:val="24"/>
        </w:rPr>
        <w:t>GB25201</w:t>
      </w:r>
      <w:r>
        <w:rPr>
          <w:rFonts w:hint="eastAsia" w:cs="Times New Roman" w:asciiTheme="majorEastAsia" w:hAnsiTheme="majorEastAsia" w:eastAsiaTheme="majorEastAsia"/>
          <w:bCs/>
          <w:sz w:val="24"/>
          <w:szCs w:val="24"/>
        </w:rPr>
        <w:t>等规范的要求。</w:t>
      </w:r>
    </w:p>
    <w:p>
      <w:pPr>
        <w:spacing w:line="400" w:lineRule="atLeast"/>
        <w:outlineLvl w:val="1"/>
        <w:rPr>
          <w:rFonts w:cs="Times New Roman" w:asciiTheme="majorEastAsia" w:hAnsiTheme="majorEastAsia" w:eastAsiaTheme="majorEastAsia"/>
          <w:bCs/>
          <w:sz w:val="24"/>
          <w:szCs w:val="24"/>
        </w:rPr>
      </w:pPr>
      <w:r>
        <w:rPr>
          <w:rFonts w:hint="eastAsia" w:cs="Times New Roman" w:asciiTheme="majorEastAsia" w:hAnsiTheme="majorEastAsia" w:eastAsiaTheme="majorEastAsia"/>
          <w:bCs/>
          <w:sz w:val="24"/>
          <w:szCs w:val="24"/>
        </w:rPr>
        <w:t>4.2.6  液化天然气、压缩天然气汽车加气站的安全操作、装卸台柱设施配置与维护、装卸台柱安全管理应符合</w:t>
      </w:r>
      <w:r>
        <w:rPr>
          <w:rFonts w:ascii="Times New Roman" w:hAnsi="Times New Roman" w:cs="Times New Roman" w:eastAsiaTheme="majorEastAsia"/>
          <w:bCs/>
          <w:sz w:val="24"/>
          <w:szCs w:val="24"/>
        </w:rPr>
        <w:t>GB25201</w:t>
      </w:r>
      <w:r>
        <w:rPr>
          <w:rFonts w:hint="eastAsia" w:cs="Times New Roman" w:asciiTheme="majorEastAsia" w:hAnsiTheme="majorEastAsia" w:eastAsiaTheme="majorEastAsia"/>
          <w:bCs/>
          <w:sz w:val="24"/>
          <w:szCs w:val="24"/>
        </w:rPr>
        <w:t>等规范的要求。</w:t>
      </w:r>
    </w:p>
    <w:p>
      <w:pPr>
        <w:spacing w:line="400" w:lineRule="atLeast"/>
        <w:rPr>
          <w:rFonts w:cs="Times New Roman" w:asciiTheme="majorEastAsia" w:hAnsiTheme="majorEastAsia" w:eastAsiaTheme="majorEastAsia"/>
          <w:bCs/>
          <w:sz w:val="24"/>
          <w:szCs w:val="24"/>
        </w:rPr>
      </w:pPr>
      <w:r>
        <w:rPr>
          <w:rFonts w:hint="eastAsia" w:cs="Times New Roman" w:asciiTheme="majorEastAsia" w:hAnsiTheme="majorEastAsia" w:eastAsiaTheme="majorEastAsia"/>
          <w:bCs/>
          <w:sz w:val="24"/>
          <w:szCs w:val="24"/>
        </w:rPr>
        <w:t>4.2.7 检维修及危险作业许可管理应符合下列规定：</w:t>
      </w:r>
    </w:p>
    <w:p>
      <w:pPr>
        <w:spacing w:line="400" w:lineRule="atLeast"/>
        <w:ind w:firstLine="360" w:firstLineChars="15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 xml:space="preserve">1 </w:t>
      </w:r>
      <w:r>
        <w:rPr>
          <w:rFonts w:hint="eastAsia" w:cs="Times New Roman" w:asciiTheme="majorEastAsia" w:hAnsiTheme="majorEastAsia" w:eastAsiaTheme="majorEastAsia"/>
          <w:bCs/>
          <w:sz w:val="24"/>
          <w:szCs w:val="24"/>
        </w:rPr>
        <w:t>液化天然气、压缩天然气汽车加气站</w:t>
      </w:r>
      <w:r>
        <w:rPr>
          <w:rFonts w:hint="eastAsia" w:cs="Times New Roman" w:asciiTheme="majorEastAsia" w:hAnsiTheme="majorEastAsia" w:eastAsiaTheme="majorEastAsia"/>
          <w:sz w:val="24"/>
          <w:szCs w:val="24"/>
        </w:rPr>
        <w:t>应制定并严格执行设备设施检维修管理制度，制定综合检维修计划，加强日常检维修和定期检维修管理，并做好记录。</w:t>
      </w:r>
    </w:p>
    <w:p>
      <w:pPr>
        <w:spacing w:line="400" w:lineRule="atLeast"/>
        <w:ind w:firstLine="360" w:firstLineChars="15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检维修方案应包含作业安全风险分析、控制措施、应急处置措施及安全验收标准。检维修过程中应严格执行安全控制措施，隔离能量和危险物质，并进行监督检查，检维修后应进行安全确认。检维修过程中涉及危险作业的，应实行危险作业许可管理制度。相关作业活动应符合</w:t>
      </w:r>
      <w:r>
        <w:rPr>
          <w:rFonts w:ascii="Times New Roman" w:hAnsi="Times New Roman" w:cs="Times New Roman" w:eastAsiaTheme="majorEastAsia"/>
          <w:sz w:val="24"/>
          <w:szCs w:val="24"/>
        </w:rPr>
        <w:t>CJJ51</w:t>
      </w:r>
      <w:r>
        <w:rPr>
          <w:rFonts w:hint="eastAsia" w:cs="Times New Roman" w:asciiTheme="majorEastAsia" w:hAnsiTheme="majorEastAsia" w:eastAsiaTheme="majorEastAsia"/>
          <w:sz w:val="24"/>
          <w:szCs w:val="24"/>
        </w:rPr>
        <w:t>的规定和要求。</w:t>
      </w:r>
    </w:p>
    <w:p>
      <w:pPr>
        <w:spacing w:line="400" w:lineRule="atLeast"/>
        <w:rPr>
          <w:rFonts w:cs="Times New Roman" w:asciiTheme="majorEastAsia" w:hAnsiTheme="majorEastAsia" w:eastAsiaTheme="majorEastAsia"/>
          <w:bCs/>
          <w:sz w:val="24"/>
          <w:szCs w:val="24"/>
        </w:rPr>
      </w:pPr>
      <w:r>
        <w:rPr>
          <w:rFonts w:hint="eastAsia" w:cs="Times New Roman" w:asciiTheme="majorEastAsia" w:hAnsiTheme="majorEastAsia" w:eastAsiaTheme="majorEastAsia"/>
          <w:bCs/>
          <w:sz w:val="24"/>
          <w:szCs w:val="24"/>
        </w:rPr>
        <w:t>4.2.8 防雷防静电设施及其维护和安全管理应符合下列规定：</w:t>
      </w:r>
    </w:p>
    <w:p>
      <w:pPr>
        <w:spacing w:line="400" w:lineRule="atLeast"/>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 xml:space="preserve">1  </w:t>
      </w:r>
      <w:r>
        <w:rPr>
          <w:rFonts w:hint="eastAsia" w:cs="Times New Roman" w:asciiTheme="majorEastAsia" w:hAnsiTheme="majorEastAsia" w:eastAsiaTheme="majorEastAsia"/>
          <w:bCs/>
          <w:sz w:val="24"/>
          <w:szCs w:val="24"/>
        </w:rPr>
        <w:t>液化天然气、压缩天然气汽车加气站</w:t>
      </w:r>
      <w:r>
        <w:rPr>
          <w:rFonts w:hint="eastAsia" w:cs="Times New Roman" w:asciiTheme="majorEastAsia" w:hAnsiTheme="majorEastAsia" w:eastAsiaTheme="majorEastAsia"/>
          <w:sz w:val="24"/>
          <w:szCs w:val="24"/>
        </w:rPr>
        <w:t>具有爆炸危险的建、构筑物的防雷设计应按国家标准</w:t>
      </w:r>
      <w:r>
        <w:rPr>
          <w:rFonts w:ascii="Times New Roman" w:hAnsi="Times New Roman" w:cs="Times New Roman" w:eastAsiaTheme="majorEastAsia"/>
          <w:sz w:val="24"/>
          <w:szCs w:val="24"/>
        </w:rPr>
        <w:t>GB 50057</w:t>
      </w:r>
      <w:r>
        <w:rPr>
          <w:rFonts w:hint="eastAsia" w:cs="Times New Roman" w:asciiTheme="majorEastAsia" w:hAnsiTheme="majorEastAsia" w:eastAsiaTheme="majorEastAsia"/>
          <w:sz w:val="24"/>
          <w:szCs w:val="24"/>
        </w:rPr>
        <w:t>中的有关规定安装防雷设施。</w:t>
      </w:r>
    </w:p>
    <w:p>
      <w:pPr>
        <w:spacing w:line="400" w:lineRule="atLeast"/>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 xml:space="preserve">2  </w:t>
      </w:r>
      <w:r>
        <w:rPr>
          <w:rFonts w:hint="eastAsia" w:cs="Times New Roman" w:asciiTheme="majorEastAsia" w:hAnsiTheme="majorEastAsia" w:eastAsiaTheme="majorEastAsia"/>
          <w:bCs/>
          <w:sz w:val="24"/>
          <w:szCs w:val="24"/>
        </w:rPr>
        <w:t>液化天然气、压缩天然气汽车加气站</w:t>
      </w:r>
      <w:r>
        <w:rPr>
          <w:rFonts w:hint="eastAsia" w:cs="Times New Roman" w:asciiTheme="majorEastAsia" w:hAnsiTheme="majorEastAsia" w:eastAsiaTheme="majorEastAsia"/>
          <w:sz w:val="24"/>
          <w:szCs w:val="24"/>
        </w:rPr>
        <w:t>的储罐、压力管道、机泵接地等应符合SH/T 3097等法规的规定和要求。</w:t>
      </w:r>
    </w:p>
    <w:p>
      <w:pPr>
        <w:spacing w:line="400" w:lineRule="atLeast"/>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 相关防雷装置应定期送有资质的单位进行检测，并保存相关报告、证书。</w:t>
      </w:r>
    </w:p>
    <w:p>
      <w:pPr>
        <w:spacing w:line="400" w:lineRule="atLeast"/>
        <w:rPr>
          <w:rFonts w:cs="Times New Roman" w:asciiTheme="majorEastAsia" w:hAnsiTheme="majorEastAsia" w:eastAsiaTheme="majorEastAsia"/>
          <w:bCs/>
          <w:sz w:val="24"/>
          <w:szCs w:val="24"/>
        </w:rPr>
      </w:pPr>
      <w:r>
        <w:rPr>
          <w:rFonts w:hint="eastAsia" w:cs="Times New Roman" w:asciiTheme="majorEastAsia" w:hAnsiTheme="majorEastAsia" w:eastAsiaTheme="majorEastAsia"/>
          <w:bCs/>
          <w:sz w:val="24"/>
          <w:szCs w:val="24"/>
        </w:rPr>
        <w:t>4.2.9 配电房应符合下列规定：</w:t>
      </w:r>
    </w:p>
    <w:p>
      <w:pPr>
        <w:spacing w:line="400" w:lineRule="atLeast"/>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 配电房的建筑结构、设置应符合相关规定的要求。</w:t>
      </w:r>
    </w:p>
    <w:p>
      <w:pPr>
        <w:spacing w:line="400" w:lineRule="atLeast"/>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 配电房应按规定配备消防安全器材。</w:t>
      </w:r>
    </w:p>
    <w:p>
      <w:pPr>
        <w:spacing w:line="400" w:lineRule="atLeast"/>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 相关设施应定期进行检查和测试，保证其完好可用。</w:t>
      </w:r>
    </w:p>
    <w:p>
      <w:pPr>
        <w:spacing w:line="400" w:lineRule="atLeast"/>
        <w:rPr>
          <w:rFonts w:cs="Times New Roman" w:asciiTheme="majorEastAsia" w:hAnsiTheme="majorEastAsia" w:eastAsiaTheme="majorEastAsia"/>
          <w:bCs/>
          <w:sz w:val="24"/>
          <w:szCs w:val="24"/>
        </w:rPr>
      </w:pPr>
      <w:r>
        <w:rPr>
          <w:rFonts w:hint="eastAsia" w:cs="Times New Roman" w:asciiTheme="majorEastAsia" w:hAnsiTheme="majorEastAsia" w:eastAsiaTheme="majorEastAsia"/>
          <w:bCs/>
          <w:sz w:val="24"/>
          <w:szCs w:val="24"/>
        </w:rPr>
        <w:t>4.2.10消防供水系统</w:t>
      </w:r>
    </w:p>
    <w:p>
      <w:pPr>
        <w:spacing w:line="400" w:lineRule="atLeast"/>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消防给水系统、消防供水连续供水时间、消防泵、消防栓的运行情况，均应符合消防法的规定和要求。</w:t>
      </w:r>
    </w:p>
    <w:p>
      <w:pPr>
        <w:spacing w:line="400" w:lineRule="atLeast"/>
        <w:ind w:firstLine="480" w:firstLineChars="200"/>
        <w:rPr>
          <w:rFonts w:cs="Times New Roman" w:asciiTheme="majorEastAsia" w:hAnsiTheme="majorEastAsia" w:eastAsiaTheme="majorEastAsia"/>
          <w:sz w:val="24"/>
          <w:szCs w:val="24"/>
        </w:rPr>
      </w:pPr>
    </w:p>
    <w:p>
      <w:pPr>
        <w:spacing w:line="400" w:lineRule="atLeast"/>
        <w:ind w:firstLine="480" w:firstLineChars="200"/>
        <w:rPr>
          <w:rFonts w:cs="Times New Roman" w:asciiTheme="majorEastAsia" w:hAnsiTheme="majorEastAsia" w:eastAsiaTheme="majorEastAsia"/>
          <w:sz w:val="24"/>
          <w:szCs w:val="24"/>
        </w:rPr>
      </w:pPr>
    </w:p>
    <w:p>
      <w:pPr>
        <w:spacing w:line="440" w:lineRule="exact"/>
        <w:ind w:firstLine="420" w:firstLineChars="200"/>
        <w:rPr>
          <w:rFonts w:ascii="Times New Roman" w:hAnsi="Times New Roman" w:cs="Times New Roman"/>
          <w:szCs w:val="21"/>
        </w:rPr>
      </w:pPr>
    </w:p>
    <w:p>
      <w:pPr>
        <w:spacing w:line="440" w:lineRule="exact"/>
        <w:ind w:firstLine="420" w:firstLineChars="200"/>
        <w:rPr>
          <w:rFonts w:ascii="Times New Roman" w:hAnsi="Times New Roman" w:cs="Times New Roman"/>
          <w:szCs w:val="21"/>
        </w:rPr>
      </w:pPr>
    </w:p>
    <w:p>
      <w:pPr>
        <w:spacing w:line="440" w:lineRule="exact"/>
        <w:ind w:firstLine="420" w:firstLineChars="200"/>
        <w:rPr>
          <w:rFonts w:ascii="Times New Roman" w:hAnsi="Times New Roman" w:cs="Times New Roman"/>
          <w:szCs w:val="21"/>
        </w:rPr>
      </w:pPr>
    </w:p>
    <w:p>
      <w:pPr>
        <w:spacing w:line="440" w:lineRule="exact"/>
        <w:ind w:firstLine="420" w:firstLineChars="200"/>
        <w:rPr>
          <w:rFonts w:ascii="Times New Roman" w:hAnsi="Times New Roman" w:cs="Times New Roman"/>
          <w:szCs w:val="21"/>
        </w:rPr>
      </w:pPr>
    </w:p>
    <w:p>
      <w:pPr>
        <w:spacing w:line="440" w:lineRule="exact"/>
        <w:ind w:firstLine="420" w:firstLineChars="200"/>
        <w:rPr>
          <w:rFonts w:ascii="Times New Roman" w:hAnsi="Times New Roman" w:cs="Times New Roman"/>
          <w:szCs w:val="21"/>
        </w:rPr>
      </w:pPr>
    </w:p>
    <w:p>
      <w:pPr>
        <w:spacing w:line="440" w:lineRule="exact"/>
        <w:ind w:firstLine="420" w:firstLineChars="200"/>
        <w:rPr>
          <w:rFonts w:ascii="Times New Roman" w:hAnsi="Times New Roman" w:cs="Times New Roman"/>
          <w:szCs w:val="21"/>
        </w:rPr>
      </w:pPr>
    </w:p>
    <w:p>
      <w:pPr>
        <w:spacing w:line="440" w:lineRule="exact"/>
        <w:ind w:firstLine="420" w:firstLineChars="200"/>
        <w:rPr>
          <w:rFonts w:ascii="Times New Roman" w:hAnsi="Times New Roman" w:cs="Times New Roman"/>
          <w:szCs w:val="21"/>
        </w:rPr>
      </w:pPr>
    </w:p>
    <w:p>
      <w:pPr>
        <w:spacing w:line="440" w:lineRule="exact"/>
        <w:ind w:firstLine="420" w:firstLineChars="200"/>
        <w:rPr>
          <w:rFonts w:ascii="Times New Roman" w:hAnsi="Times New Roman" w:cs="Times New Roman"/>
          <w:szCs w:val="21"/>
        </w:rPr>
      </w:pPr>
    </w:p>
    <w:p>
      <w:pPr>
        <w:spacing w:line="440" w:lineRule="exact"/>
        <w:ind w:firstLine="420" w:firstLineChars="200"/>
        <w:rPr>
          <w:rFonts w:ascii="Times New Roman" w:hAnsi="Times New Roman" w:cs="Times New Roman"/>
          <w:szCs w:val="21"/>
        </w:rPr>
      </w:pPr>
    </w:p>
    <w:p>
      <w:pPr>
        <w:spacing w:line="440" w:lineRule="exact"/>
        <w:ind w:firstLine="420" w:firstLineChars="200"/>
        <w:rPr>
          <w:rFonts w:ascii="Times New Roman" w:hAnsi="Times New Roman" w:cs="Times New Roman"/>
          <w:szCs w:val="21"/>
        </w:rPr>
      </w:pPr>
    </w:p>
    <w:p>
      <w:pPr>
        <w:spacing w:line="440" w:lineRule="exact"/>
        <w:ind w:firstLine="420" w:firstLineChars="200"/>
        <w:rPr>
          <w:rFonts w:ascii="Times New Roman" w:hAnsi="Times New Roman" w:cs="Times New Roman"/>
          <w:szCs w:val="21"/>
        </w:rPr>
      </w:pPr>
    </w:p>
    <w:p>
      <w:pPr>
        <w:spacing w:line="440" w:lineRule="exact"/>
        <w:ind w:firstLine="420" w:firstLineChars="200"/>
        <w:rPr>
          <w:rFonts w:ascii="Times New Roman" w:hAnsi="Times New Roman" w:cs="Times New Roman"/>
          <w:szCs w:val="21"/>
        </w:rPr>
      </w:pPr>
    </w:p>
    <w:p>
      <w:pPr>
        <w:spacing w:line="440" w:lineRule="exact"/>
        <w:ind w:firstLine="420" w:firstLineChars="200"/>
        <w:rPr>
          <w:rFonts w:ascii="Times New Roman" w:hAnsi="Times New Roman" w:cs="Times New Roman"/>
          <w:szCs w:val="21"/>
        </w:rPr>
      </w:pPr>
    </w:p>
    <w:p>
      <w:pPr>
        <w:spacing w:line="440" w:lineRule="exact"/>
        <w:ind w:firstLine="420" w:firstLineChars="200"/>
        <w:rPr>
          <w:rFonts w:ascii="Times New Roman" w:hAnsi="Times New Roman" w:cs="Times New Roman"/>
          <w:szCs w:val="21"/>
        </w:rPr>
      </w:pPr>
    </w:p>
    <w:p>
      <w:pPr>
        <w:spacing w:line="440" w:lineRule="exact"/>
        <w:ind w:firstLine="420" w:firstLineChars="200"/>
        <w:rPr>
          <w:rFonts w:ascii="Times New Roman" w:hAnsi="Times New Roman" w:cs="Times New Roman"/>
          <w:szCs w:val="21"/>
        </w:rPr>
      </w:pPr>
    </w:p>
    <w:p>
      <w:pPr>
        <w:spacing w:line="440" w:lineRule="exact"/>
        <w:ind w:firstLine="420" w:firstLineChars="200"/>
        <w:rPr>
          <w:rFonts w:ascii="Times New Roman" w:hAnsi="Times New Roman" w:cs="Times New Roman"/>
          <w:szCs w:val="21"/>
        </w:rPr>
      </w:pPr>
    </w:p>
    <w:p>
      <w:pPr>
        <w:spacing w:line="440" w:lineRule="exact"/>
        <w:ind w:firstLine="420" w:firstLineChars="200"/>
        <w:rPr>
          <w:rFonts w:ascii="Times New Roman" w:hAnsi="Times New Roman" w:cs="Times New Roman"/>
          <w:szCs w:val="21"/>
        </w:rPr>
      </w:pPr>
    </w:p>
    <w:p>
      <w:pPr>
        <w:spacing w:line="440" w:lineRule="exact"/>
        <w:ind w:firstLine="420" w:firstLineChars="200"/>
        <w:rPr>
          <w:rFonts w:ascii="Times New Roman" w:hAnsi="Times New Roman" w:cs="Times New Roman"/>
          <w:szCs w:val="21"/>
        </w:rPr>
      </w:pPr>
    </w:p>
    <w:p>
      <w:pPr>
        <w:spacing w:line="440" w:lineRule="exact"/>
        <w:ind w:firstLine="420" w:firstLineChars="200"/>
        <w:rPr>
          <w:rFonts w:ascii="Times New Roman" w:hAnsi="Times New Roman" w:cs="Times New Roman"/>
          <w:szCs w:val="21"/>
        </w:rPr>
      </w:pPr>
    </w:p>
    <w:p>
      <w:pPr>
        <w:spacing w:line="440" w:lineRule="exact"/>
        <w:rPr>
          <w:rFonts w:ascii="Times New Roman" w:hAnsi="Times New Roman" w:cs="Times New Roman"/>
          <w:szCs w:val="21"/>
        </w:rPr>
      </w:pPr>
    </w:p>
    <w:p>
      <w:pPr>
        <w:spacing w:line="440" w:lineRule="exact"/>
        <w:ind w:firstLine="420" w:firstLineChars="200"/>
        <w:rPr>
          <w:rFonts w:ascii="Times New Roman" w:hAnsi="Times New Roman" w:cs="Times New Roman"/>
          <w:szCs w:val="21"/>
        </w:rPr>
      </w:pPr>
    </w:p>
    <w:p>
      <w:pPr>
        <w:spacing w:line="440" w:lineRule="exact"/>
        <w:ind w:firstLine="420" w:firstLineChars="200"/>
        <w:rPr>
          <w:rFonts w:ascii="Times New Roman" w:hAnsi="Times New Roman" w:cs="Times New Roman"/>
          <w:szCs w:val="21"/>
        </w:rPr>
      </w:pP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p>
    <w:p>
      <w:pPr>
        <w:spacing w:line="280" w:lineRule="exact"/>
        <w:jc w:val="center"/>
        <w:outlineLvl w:val="0"/>
        <w:rPr>
          <w:rFonts w:cs="Times New Roman" w:asciiTheme="minorEastAsia" w:hAnsiTheme="minorEastAsia"/>
          <w:b/>
          <w:bCs/>
          <w:sz w:val="24"/>
          <w:szCs w:val="24"/>
        </w:rPr>
      </w:pPr>
      <w:bookmarkStart w:id="57" w:name="_Toc22239"/>
      <w:bookmarkStart w:id="58" w:name="_Toc8222"/>
      <w:bookmarkStart w:id="59" w:name="_Toc28195"/>
      <w:r>
        <w:rPr>
          <w:rFonts w:hint="eastAsia" w:cs="Times New Roman" w:asciiTheme="minorEastAsia" w:hAnsiTheme="minorEastAsia"/>
          <w:b/>
          <w:bCs/>
          <w:sz w:val="24"/>
          <w:szCs w:val="24"/>
        </w:rPr>
        <w:t>附录A</w:t>
      </w:r>
      <w:bookmarkEnd w:id="57"/>
      <w:bookmarkEnd w:id="58"/>
      <w:bookmarkEnd w:id="59"/>
    </w:p>
    <w:p>
      <w:pPr>
        <w:spacing w:line="280" w:lineRule="exact"/>
        <w:jc w:val="center"/>
        <w:outlineLvl w:val="0"/>
        <w:rPr>
          <w:rFonts w:cs="Times New Roman" w:asciiTheme="minorEastAsia" w:hAnsiTheme="minorEastAsia"/>
          <w:b/>
          <w:bCs/>
          <w:sz w:val="24"/>
          <w:szCs w:val="24"/>
        </w:rPr>
      </w:pPr>
      <w:r>
        <w:rPr>
          <w:rFonts w:hint="eastAsia" w:cs="Times New Roman" w:asciiTheme="minorEastAsia" w:hAnsiTheme="minorEastAsia"/>
          <w:b/>
          <w:bCs/>
          <w:sz w:val="24"/>
          <w:szCs w:val="24"/>
        </w:rPr>
        <w:t>（规范性附录）</w:t>
      </w:r>
    </w:p>
    <w:p>
      <w:pPr>
        <w:spacing w:line="280" w:lineRule="exact"/>
        <w:jc w:val="center"/>
        <w:outlineLvl w:val="0"/>
        <w:rPr>
          <w:rFonts w:cs="Times New Roman" w:asciiTheme="minorEastAsia" w:hAnsiTheme="minorEastAsia"/>
          <w:b/>
          <w:bCs/>
          <w:sz w:val="24"/>
          <w:szCs w:val="24"/>
        </w:rPr>
      </w:pPr>
      <w:r>
        <w:rPr>
          <w:rFonts w:hint="eastAsia" w:cs="Times New Roman" w:asciiTheme="minorEastAsia" w:hAnsiTheme="minorEastAsia"/>
          <w:b/>
          <w:bCs/>
          <w:sz w:val="24"/>
          <w:szCs w:val="24"/>
        </w:rPr>
        <w:t>政府燃气管理部门开展安全监督检查内容</w:t>
      </w:r>
    </w:p>
    <w:p>
      <w:pPr>
        <w:spacing w:line="440" w:lineRule="exact"/>
        <w:jc w:val="center"/>
        <w:rPr>
          <w:rFonts w:ascii="Times New Roman" w:hAnsi="Times New Roman" w:cs="Times New Roman"/>
          <w:szCs w:val="21"/>
        </w:rPr>
      </w:pPr>
      <w:r>
        <w:rPr>
          <w:rFonts w:hint="eastAsia" w:ascii="Times New Roman" w:hAnsi="Times New Roman" w:cs="Times New Roman"/>
          <w:szCs w:val="21"/>
        </w:rPr>
        <w:t>政府燃气管理部门对汽车加气运营企业开展安全监督检查，包括以下安全监督检查表：</w:t>
      </w: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表A.1 汽车加气运营企业安全监督检查表</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03"/>
        <w:gridCol w:w="3119"/>
        <w:gridCol w:w="1106"/>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303"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3119"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1106"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42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648" w:type="dxa"/>
            <w:vMerge w:val="restart"/>
            <w:vAlign w:val="center"/>
          </w:tcPr>
          <w:p>
            <w:pPr>
              <w:spacing w:line="44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p>
        </w:tc>
        <w:tc>
          <w:tcPr>
            <w:tcW w:w="1303" w:type="dxa"/>
            <w:vMerge w:val="restart"/>
            <w:vAlign w:val="center"/>
          </w:tcPr>
          <w:p>
            <w:pPr>
              <w:spacing w:line="280" w:lineRule="exact"/>
              <w:jc w:val="center"/>
              <w:rPr>
                <w:rFonts w:ascii="Times New Roman" w:hAnsi="Times New Roman" w:cs="Times New Roman"/>
                <w:bCs/>
                <w:sz w:val="18"/>
                <w:szCs w:val="18"/>
              </w:rPr>
            </w:pPr>
            <w:r>
              <w:rPr>
                <w:rFonts w:hint="eastAsia" w:ascii="Times New Roman" w:hAnsi="Times New Roman" w:cs="Times New Roman"/>
                <w:bCs/>
                <w:sz w:val="18"/>
                <w:szCs w:val="18"/>
              </w:rPr>
              <w:t>安全生产管理机构与人员</w:t>
            </w: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应设有由主要负责人领导的安全生产委员会（领导小组）</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应设有日常安全生产管理机构或专职安全管理人员配备</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应建立从安全生产委员会（领导小组）到基层班组的安全生产机构管理体系</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48" w:type="dxa"/>
            <w:vMerge w:val="restart"/>
            <w:vAlign w:val="center"/>
          </w:tcPr>
          <w:p>
            <w:pPr>
              <w:spacing w:line="440" w:lineRule="exact"/>
              <w:jc w:val="center"/>
              <w:rPr>
                <w:rFonts w:ascii="Times New Roman" w:hAnsi="Times New Roman" w:cs="Times New Roman"/>
                <w:bCs/>
                <w:sz w:val="18"/>
                <w:szCs w:val="18"/>
              </w:rPr>
            </w:pPr>
            <w:r>
              <w:rPr>
                <w:rFonts w:hint="eastAsia" w:ascii="Times New Roman" w:hAnsi="Times New Roman" w:cs="Times New Roman"/>
                <w:bCs/>
                <w:sz w:val="18"/>
                <w:szCs w:val="18"/>
              </w:rPr>
              <w:t>2</w:t>
            </w:r>
          </w:p>
        </w:tc>
        <w:tc>
          <w:tcPr>
            <w:tcW w:w="1303" w:type="dxa"/>
            <w:vMerge w:val="restart"/>
            <w:vAlign w:val="center"/>
          </w:tcPr>
          <w:p>
            <w:pPr>
              <w:spacing w:line="280" w:lineRule="exact"/>
              <w:jc w:val="center"/>
              <w:rPr>
                <w:rFonts w:ascii="Times New Roman" w:hAnsi="Times New Roman" w:cs="Times New Roman"/>
                <w:bCs/>
                <w:sz w:val="18"/>
                <w:szCs w:val="18"/>
              </w:rPr>
            </w:pPr>
            <w:r>
              <w:rPr>
                <w:rFonts w:hint="eastAsia" w:ascii="Times New Roman" w:hAnsi="Times New Roman" w:cs="Times New Roman"/>
                <w:bCs/>
                <w:sz w:val="18"/>
                <w:szCs w:val="18"/>
              </w:rPr>
              <w:t>安全生产规章制度和安全操作规程</w:t>
            </w: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应建立从上到下所有岗位人员和各职能部门的安全生产职责</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应建立健全各项安全生产规章制度</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安全生产责任制检查考核记录</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应制定安全操作规程、维护保养规程</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安全制度和操作规程检查考核记录</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应建立双重防控机制，对危险作业进行分级审批</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Merge w:val="restart"/>
            <w:vAlign w:val="center"/>
          </w:tcPr>
          <w:p>
            <w:pPr>
              <w:spacing w:line="440" w:lineRule="exact"/>
              <w:jc w:val="center"/>
              <w:rPr>
                <w:rFonts w:ascii="Times New Roman" w:hAnsi="Times New Roman" w:cs="Times New Roman"/>
                <w:bCs/>
                <w:sz w:val="18"/>
                <w:szCs w:val="18"/>
              </w:rPr>
            </w:pPr>
            <w:r>
              <w:rPr>
                <w:rFonts w:hint="eastAsia" w:ascii="Times New Roman" w:hAnsi="Times New Roman" w:cs="Times New Roman"/>
                <w:bCs/>
                <w:sz w:val="18"/>
                <w:szCs w:val="18"/>
              </w:rPr>
              <w:t>3</w:t>
            </w:r>
          </w:p>
        </w:tc>
        <w:tc>
          <w:tcPr>
            <w:tcW w:w="1303" w:type="dxa"/>
            <w:vMerge w:val="restart"/>
            <w:vAlign w:val="center"/>
          </w:tcPr>
          <w:p>
            <w:pPr>
              <w:spacing w:line="440" w:lineRule="exact"/>
              <w:jc w:val="center"/>
              <w:rPr>
                <w:rFonts w:ascii="Times New Roman" w:hAnsi="Times New Roman" w:cs="Times New Roman"/>
                <w:bCs/>
                <w:sz w:val="18"/>
                <w:szCs w:val="18"/>
              </w:rPr>
            </w:pPr>
            <w:r>
              <w:rPr>
                <w:rFonts w:hint="eastAsia" w:ascii="Times New Roman" w:hAnsi="Times New Roman" w:cs="Times New Roman"/>
                <w:bCs/>
                <w:sz w:val="18"/>
                <w:szCs w:val="18"/>
              </w:rPr>
              <w:t>安全教育培训</w:t>
            </w: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企业主要负责人和安全管理人员经培训考核取得培训证书</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特种作业人员教育</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三级安全教育培训</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在岗从业人员安全培训</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安全培训台账</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定期开展安全宣传</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restart"/>
            <w:vAlign w:val="center"/>
          </w:tcPr>
          <w:p>
            <w:pPr>
              <w:spacing w:line="440" w:lineRule="exact"/>
              <w:jc w:val="center"/>
              <w:rPr>
                <w:rFonts w:ascii="Times New Roman" w:hAnsi="Times New Roman" w:cs="Times New Roman"/>
                <w:bCs/>
                <w:sz w:val="18"/>
                <w:szCs w:val="18"/>
              </w:rPr>
            </w:pPr>
            <w:r>
              <w:rPr>
                <w:rFonts w:hint="eastAsia" w:ascii="Times New Roman" w:hAnsi="Times New Roman" w:cs="Times New Roman"/>
                <w:bCs/>
                <w:sz w:val="18"/>
                <w:szCs w:val="18"/>
              </w:rPr>
              <w:t>4</w:t>
            </w:r>
          </w:p>
        </w:tc>
        <w:tc>
          <w:tcPr>
            <w:tcW w:w="1303" w:type="dxa"/>
            <w:vMerge w:val="restart"/>
            <w:vAlign w:val="center"/>
          </w:tcPr>
          <w:p>
            <w:pPr>
              <w:spacing w:line="440" w:lineRule="exact"/>
              <w:jc w:val="center"/>
              <w:rPr>
                <w:rFonts w:ascii="Times New Roman" w:hAnsi="Times New Roman" w:cs="Times New Roman"/>
                <w:bCs/>
                <w:sz w:val="18"/>
                <w:szCs w:val="18"/>
              </w:rPr>
            </w:pPr>
            <w:r>
              <w:rPr>
                <w:rFonts w:hint="eastAsia" w:ascii="Times New Roman" w:hAnsi="Times New Roman" w:cs="Times New Roman"/>
                <w:bCs/>
                <w:sz w:val="18"/>
                <w:szCs w:val="18"/>
              </w:rPr>
              <w:t>安全投入</w:t>
            </w: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建立健全内部安全生产费用管理制度</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安全生产费用管理台账</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应为员工办理工伤社会保险</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5</w:t>
            </w:r>
          </w:p>
        </w:tc>
        <w:tc>
          <w:tcPr>
            <w:tcW w:w="1303" w:type="dxa"/>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安全文化、标准化建设</w:t>
            </w: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应开展安全文化、标准化建设</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48" w:type="dxa"/>
            <w:vAlign w:val="center"/>
          </w:tcPr>
          <w:p>
            <w:pPr>
              <w:spacing w:line="440" w:lineRule="exact"/>
              <w:jc w:val="center"/>
              <w:rPr>
                <w:rFonts w:cs="Times New Roman" w:asciiTheme="minorEastAsia" w:hAnsiTheme="minorEastAsia"/>
                <w:sz w:val="18"/>
                <w:szCs w:val="18"/>
              </w:rPr>
            </w:pPr>
            <w:r>
              <w:rPr>
                <w:rFonts w:hint="eastAsia" w:cs="Times New Roman" w:asciiTheme="minorEastAsia" w:hAnsiTheme="minorEastAsia"/>
                <w:sz w:val="18"/>
                <w:szCs w:val="18"/>
              </w:rPr>
              <w:t>6</w:t>
            </w:r>
          </w:p>
        </w:tc>
        <w:tc>
          <w:tcPr>
            <w:tcW w:w="1303" w:type="dxa"/>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安全信息化建设</w:t>
            </w:r>
          </w:p>
        </w:tc>
        <w:tc>
          <w:tcPr>
            <w:tcW w:w="3119" w:type="dxa"/>
            <w:vAlign w:val="center"/>
          </w:tcPr>
          <w:p>
            <w:pPr>
              <w:spacing w:line="280" w:lineRule="exact"/>
              <w:jc w:val="left"/>
              <w:rPr>
                <w:rFonts w:cs="Times New Roman" w:asciiTheme="minorEastAsia" w:hAnsiTheme="minorEastAsia"/>
                <w:sz w:val="18"/>
                <w:szCs w:val="18"/>
              </w:rPr>
            </w:pPr>
            <w:r>
              <w:rPr>
                <w:rFonts w:hint="eastAsia" w:ascii="Times New Roman" w:hAnsi="Times New Roman" w:cs="Times New Roman"/>
                <w:sz w:val="18"/>
                <w:szCs w:val="18"/>
              </w:rPr>
              <w:t>应根据自身情况，利用信息化手段加强安全生产管理工作</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440" w:lineRule="exact"/>
              <w:jc w:val="center"/>
              <w:rPr>
                <w:rFonts w:cs="Times New Roman" w:asciiTheme="minorEastAsia" w:hAnsiTheme="minorEastAsia"/>
                <w:sz w:val="18"/>
                <w:szCs w:val="18"/>
              </w:rPr>
            </w:pPr>
            <w:r>
              <w:rPr>
                <w:rFonts w:hint="eastAsia" w:cs="Times New Roman" w:asciiTheme="minorEastAsia" w:hAnsiTheme="minorEastAsia"/>
                <w:sz w:val="18"/>
                <w:szCs w:val="18"/>
              </w:rPr>
              <w:t>7</w:t>
            </w:r>
          </w:p>
        </w:tc>
        <w:tc>
          <w:tcPr>
            <w:tcW w:w="1303"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安全检查与隐患整改</w:t>
            </w: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企业安全生产自查记录</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440" w:lineRule="exact"/>
              <w:jc w:val="center"/>
              <w:rPr>
                <w:rFonts w:cs="Times New Roman" w:asciiTheme="minorEastAsia" w:hAnsiTheme="minorEastAsia"/>
                <w:sz w:val="18"/>
                <w:szCs w:val="18"/>
              </w:rPr>
            </w:pPr>
          </w:p>
        </w:tc>
        <w:tc>
          <w:tcPr>
            <w:tcW w:w="1303" w:type="dxa"/>
            <w:vMerge w:val="continue"/>
            <w:vAlign w:val="center"/>
          </w:tcPr>
          <w:p>
            <w:pPr>
              <w:spacing w:line="280" w:lineRule="exact"/>
              <w:jc w:val="center"/>
              <w:rPr>
                <w:rFonts w:cs="Times New Roman" w:asciiTheme="minorEastAsia" w:hAnsiTheme="minorEastAsia"/>
                <w:sz w:val="18"/>
                <w:szCs w:val="18"/>
              </w:rPr>
            </w:pP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燃气站点安全检查记录</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440" w:lineRule="exact"/>
              <w:jc w:val="center"/>
              <w:rPr>
                <w:rFonts w:cs="Times New Roman" w:asciiTheme="minorEastAsia" w:hAnsiTheme="minorEastAsia"/>
                <w:sz w:val="18"/>
                <w:szCs w:val="18"/>
              </w:rPr>
            </w:pPr>
          </w:p>
        </w:tc>
        <w:tc>
          <w:tcPr>
            <w:tcW w:w="1303" w:type="dxa"/>
            <w:vMerge w:val="continue"/>
            <w:vAlign w:val="center"/>
          </w:tcPr>
          <w:p>
            <w:pPr>
              <w:spacing w:line="280" w:lineRule="exact"/>
              <w:jc w:val="center"/>
              <w:rPr>
                <w:rFonts w:cs="Times New Roman" w:asciiTheme="minorEastAsia" w:hAnsiTheme="minorEastAsia"/>
                <w:sz w:val="18"/>
                <w:szCs w:val="18"/>
              </w:rPr>
            </w:pP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用户安全检查记录</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440" w:lineRule="exact"/>
              <w:jc w:val="center"/>
              <w:rPr>
                <w:rFonts w:cs="Times New Roman" w:asciiTheme="minorEastAsia" w:hAnsiTheme="minorEastAsia"/>
                <w:sz w:val="18"/>
                <w:szCs w:val="18"/>
              </w:rPr>
            </w:pPr>
          </w:p>
        </w:tc>
        <w:tc>
          <w:tcPr>
            <w:tcW w:w="1303" w:type="dxa"/>
            <w:vMerge w:val="continue"/>
            <w:vAlign w:val="center"/>
          </w:tcPr>
          <w:p>
            <w:pPr>
              <w:spacing w:line="280" w:lineRule="exact"/>
              <w:jc w:val="center"/>
              <w:rPr>
                <w:rFonts w:cs="Times New Roman" w:asciiTheme="minorEastAsia" w:hAnsiTheme="minorEastAsia"/>
                <w:sz w:val="18"/>
                <w:szCs w:val="18"/>
              </w:rPr>
            </w:pP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用户供气协议签订记录</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cs="Times New Roman" w:asciiTheme="minorEastAsia" w:hAnsiTheme="minorEastAsia"/>
                <w:sz w:val="18"/>
                <w:szCs w:val="18"/>
              </w:rPr>
            </w:pPr>
          </w:p>
        </w:tc>
        <w:tc>
          <w:tcPr>
            <w:tcW w:w="1303" w:type="dxa"/>
            <w:vMerge w:val="continue"/>
            <w:vAlign w:val="center"/>
          </w:tcPr>
          <w:p>
            <w:pPr>
              <w:spacing w:line="280" w:lineRule="exact"/>
              <w:jc w:val="center"/>
              <w:rPr>
                <w:rFonts w:cs="Times New Roman" w:asciiTheme="minorEastAsia" w:hAnsiTheme="minorEastAsia"/>
                <w:sz w:val="18"/>
                <w:szCs w:val="18"/>
              </w:rPr>
            </w:pP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安全隐患整改记录</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bl>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表A.1 汽车加气运营企业安全监督检查表（续）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03"/>
        <w:gridCol w:w="3119"/>
        <w:gridCol w:w="1106"/>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303"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3119"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1106"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42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9</w:t>
            </w:r>
          </w:p>
        </w:tc>
        <w:tc>
          <w:tcPr>
            <w:tcW w:w="1303"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抢险与事故管理</w:t>
            </w: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抢险点设置和抢险人员配备</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320" w:lineRule="exact"/>
              <w:jc w:val="center"/>
              <w:rPr>
                <w:rFonts w:cs="Times New Roman" w:asciiTheme="minorEastAsia" w:hAnsiTheme="minorEastAsia"/>
                <w:sz w:val="18"/>
                <w:szCs w:val="18"/>
              </w:rPr>
            </w:pPr>
          </w:p>
        </w:tc>
        <w:tc>
          <w:tcPr>
            <w:tcW w:w="1303" w:type="dxa"/>
            <w:vMerge w:val="continue"/>
            <w:vAlign w:val="center"/>
          </w:tcPr>
          <w:p>
            <w:pPr>
              <w:spacing w:line="320" w:lineRule="exact"/>
              <w:jc w:val="center"/>
              <w:rPr>
                <w:rFonts w:cs="Times New Roman" w:asciiTheme="minorEastAsia" w:hAnsiTheme="minorEastAsia"/>
                <w:sz w:val="18"/>
                <w:szCs w:val="18"/>
              </w:rPr>
            </w:pP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抢险设备配置</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Merge w:val="continue"/>
            <w:vAlign w:val="center"/>
          </w:tcPr>
          <w:p>
            <w:pPr>
              <w:spacing w:line="320" w:lineRule="exact"/>
              <w:jc w:val="center"/>
              <w:rPr>
                <w:rFonts w:cs="Times New Roman" w:asciiTheme="minorEastAsia" w:hAnsiTheme="minorEastAsia"/>
                <w:sz w:val="18"/>
                <w:szCs w:val="18"/>
              </w:rPr>
            </w:pPr>
          </w:p>
        </w:tc>
        <w:tc>
          <w:tcPr>
            <w:tcW w:w="1303" w:type="dxa"/>
            <w:vMerge w:val="continue"/>
            <w:vAlign w:val="center"/>
          </w:tcPr>
          <w:p>
            <w:pPr>
              <w:spacing w:line="320" w:lineRule="exact"/>
              <w:jc w:val="center"/>
              <w:rPr>
                <w:rFonts w:cs="Times New Roman" w:asciiTheme="minorEastAsia" w:hAnsiTheme="minorEastAsia"/>
                <w:sz w:val="18"/>
                <w:szCs w:val="18"/>
              </w:rPr>
            </w:pP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生产安全事故应急预案及应急预案备案及修订</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320" w:lineRule="exact"/>
              <w:jc w:val="center"/>
              <w:rPr>
                <w:rFonts w:cs="Times New Roman" w:asciiTheme="minorEastAsia" w:hAnsiTheme="minorEastAsia"/>
                <w:sz w:val="18"/>
                <w:szCs w:val="18"/>
              </w:rPr>
            </w:pPr>
          </w:p>
        </w:tc>
        <w:tc>
          <w:tcPr>
            <w:tcW w:w="1303" w:type="dxa"/>
            <w:vMerge w:val="continue"/>
            <w:vAlign w:val="center"/>
          </w:tcPr>
          <w:p>
            <w:pPr>
              <w:spacing w:line="320" w:lineRule="exact"/>
              <w:jc w:val="center"/>
              <w:rPr>
                <w:rFonts w:cs="Times New Roman" w:asciiTheme="minorEastAsia" w:hAnsiTheme="minorEastAsia"/>
                <w:sz w:val="18"/>
                <w:szCs w:val="18"/>
              </w:rPr>
            </w:pP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应急演练台账</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320" w:lineRule="exact"/>
              <w:jc w:val="center"/>
              <w:rPr>
                <w:rFonts w:cs="Times New Roman" w:asciiTheme="minorEastAsia" w:hAnsiTheme="minorEastAsia"/>
                <w:sz w:val="18"/>
                <w:szCs w:val="18"/>
              </w:rPr>
            </w:pPr>
          </w:p>
        </w:tc>
        <w:tc>
          <w:tcPr>
            <w:tcW w:w="1303" w:type="dxa"/>
            <w:vMerge w:val="continue"/>
            <w:vAlign w:val="center"/>
          </w:tcPr>
          <w:p>
            <w:pPr>
              <w:spacing w:line="320" w:lineRule="exact"/>
              <w:jc w:val="center"/>
              <w:rPr>
                <w:rFonts w:cs="Times New Roman" w:asciiTheme="minorEastAsia" w:hAnsiTheme="minorEastAsia"/>
                <w:sz w:val="18"/>
                <w:szCs w:val="18"/>
              </w:rPr>
            </w:pP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建立健全事故台账</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检查评述</w:t>
            </w:r>
          </w:p>
        </w:tc>
        <w:tc>
          <w:tcPr>
            <w:tcW w:w="7950" w:type="dxa"/>
            <w:gridSpan w:val="4"/>
            <w:vAlign w:val="center"/>
          </w:tcPr>
          <w:p>
            <w:pPr>
              <w:spacing w:line="280" w:lineRule="exact"/>
              <w:jc w:val="center"/>
              <w:rPr>
                <w:rFonts w:cs="Times New Roman" w:asciiTheme="minorEastAsia" w:hAnsiTheme="minorEastAsia"/>
                <w:sz w:val="18"/>
                <w:szCs w:val="18"/>
              </w:rPr>
            </w:pPr>
          </w:p>
        </w:tc>
      </w:tr>
    </w:tbl>
    <w:p>
      <w:pPr>
        <w:spacing w:line="440" w:lineRule="exact"/>
        <w:jc w:val="center"/>
        <w:rPr>
          <w:rFonts w:ascii="Times New Roman" w:hAnsi="Times New Roman" w:cs="Times New Roman"/>
          <w:b/>
          <w:bCs/>
          <w:szCs w:val="21"/>
        </w:rPr>
      </w:pPr>
    </w:p>
    <w:p>
      <w:pPr>
        <w:spacing w:line="440" w:lineRule="exact"/>
        <w:rPr>
          <w:rFonts w:ascii="Times New Roman" w:hAnsi="Times New Roman" w:cs="Times New Roman"/>
          <w:b/>
          <w:bCs/>
          <w:sz w:val="18"/>
          <w:szCs w:val="18"/>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表A.2 液化天然气、压缩天然气加气站安全监督检查表</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2977"/>
        <w:gridCol w:w="1106"/>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418"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2977"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1106"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42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1</w:t>
            </w:r>
          </w:p>
        </w:tc>
        <w:tc>
          <w:tcPr>
            <w:tcW w:w="1418"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总平面布置</w:t>
            </w:r>
          </w:p>
        </w:tc>
        <w:tc>
          <w:tcPr>
            <w:tcW w:w="297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周边环境有无发生重大变化</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总平面应分区布置，分为工艺装置区和加气区</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周边应设置围墙，围墙应完整，无破损</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站内严禁种植油性植物，储罐区内严禁绿化，绿化不得侵入道路，绿化不得阻碍消防救援</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2</w:t>
            </w:r>
          </w:p>
        </w:tc>
        <w:tc>
          <w:tcPr>
            <w:tcW w:w="141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站内道路交通</w:t>
            </w: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场站入口和出口设置及车辆进出管理</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供气加气车辆进出的道路宽度要求</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路面上要有清楚的路面标线</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视频监控装置</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架空管道的限高标志</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防撞装置</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3</w:t>
            </w:r>
          </w:p>
        </w:tc>
        <w:tc>
          <w:tcPr>
            <w:tcW w:w="1418"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天然气装卸</w:t>
            </w: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装卸前，车辆熄火，手刹拉起，手轮下垫放三角木等防止车辆滑动的阻挡设施，并在罐车前竖起安全警示牌</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应建立在本站定点装卸的槽车安全管理档案，有危运资质</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装卸前后安全检查台账</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静电接地报警装置连接</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装卸软管定期检查维护</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拉断阀配置</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4</w:t>
            </w:r>
          </w:p>
        </w:tc>
        <w:tc>
          <w:tcPr>
            <w:tcW w:w="1418"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加气</w:t>
            </w: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在驾驶室的挡风玻璃上放置加气警示牌</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bl>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表A.2 液化天然气、压缩天然气加气站安全监督检查表（续）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3118"/>
        <w:gridCol w:w="965"/>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418"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3118"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96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42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4</w:t>
            </w:r>
          </w:p>
        </w:tc>
        <w:tc>
          <w:tcPr>
            <w:tcW w:w="141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加气</w:t>
            </w:r>
          </w:p>
        </w:tc>
        <w:tc>
          <w:tcPr>
            <w:tcW w:w="3118"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加气前、后检查记录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加气软管及拉断阀配置</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事故紧急切断阀</w:t>
            </w:r>
          </w:p>
          <w:p>
            <w:pPr>
              <w:spacing w:line="320" w:lineRule="exact"/>
              <w:jc w:val="left"/>
              <w:rPr>
                <w:rFonts w:cs="Times New Roman" w:asciiTheme="minorEastAsia" w:hAnsiTheme="minorEastAsia"/>
                <w:sz w:val="18"/>
                <w:szCs w:val="18"/>
              </w:rPr>
            </w:pP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视频监控及防撞措施</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加气枪定期检测</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5</w:t>
            </w:r>
          </w:p>
        </w:tc>
        <w:tc>
          <w:tcPr>
            <w:tcW w:w="141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储罐</w:t>
            </w: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在城市中心区内，</w:t>
            </w:r>
            <w:r>
              <w:rPr>
                <w:rFonts w:ascii="Times New Roman" w:hAnsi="Times New Roman" w:cs="Times New Roman"/>
                <w:sz w:val="18"/>
                <w:szCs w:val="18"/>
              </w:rPr>
              <w:t>各类LNG</w:t>
            </w:r>
            <w:r>
              <w:rPr>
                <w:rFonts w:hint="eastAsia" w:ascii="Times New Roman" w:hAnsi="Times New Roman" w:cs="Times New Roman"/>
                <w:sz w:val="18"/>
                <w:szCs w:val="18"/>
              </w:rPr>
              <w:t>、CNG</w:t>
            </w:r>
            <w:r>
              <w:rPr>
                <w:rFonts w:ascii="Times New Roman" w:hAnsi="Times New Roman" w:cs="Times New Roman"/>
                <w:sz w:val="18"/>
                <w:szCs w:val="18"/>
              </w:rPr>
              <w:t>加气站及加油加气合建站，应采用埋地LNG储罐、地下LNG储罐或半地下LNG储</w:t>
            </w:r>
            <w:r>
              <w:rPr>
                <w:rFonts w:hint="eastAsia" w:cs="Times New Roman" w:asciiTheme="minorEastAsia" w:hAnsiTheme="minorEastAsia"/>
                <w:sz w:val="18"/>
                <w:szCs w:val="18"/>
              </w:rPr>
              <w:t>罐</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ascii="Times New Roman" w:hAnsi="Times New Roman" w:cs="Times New Roman"/>
                <w:sz w:val="18"/>
                <w:szCs w:val="18"/>
              </w:rPr>
              <w:t>地下或半地下LNG储</w:t>
            </w:r>
            <w:r>
              <w:rPr>
                <w:rFonts w:hint="eastAsia" w:cs="Times New Roman" w:asciiTheme="minorEastAsia" w:hAnsiTheme="minorEastAsia"/>
                <w:sz w:val="18"/>
                <w:szCs w:val="18"/>
              </w:rPr>
              <w:t>罐宜采用卧式储罐，储罐应安装在罐池中，罐池应为不燃烧实体防护结构，罐池完好，不渗漏；罐池应设置抽水泵，并配备有备用泵</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ascii="Times New Roman" w:hAnsi="Times New Roman" w:cs="Times New Roman"/>
                <w:sz w:val="18"/>
                <w:szCs w:val="18"/>
              </w:rPr>
              <w:t>LNG</w:t>
            </w:r>
            <w:r>
              <w:rPr>
                <w:rFonts w:hint="eastAsia" w:ascii="Times New Roman" w:hAnsi="Times New Roman" w:cs="Times New Roman"/>
                <w:sz w:val="18"/>
                <w:szCs w:val="18"/>
              </w:rPr>
              <w:t>、CNG</w:t>
            </w:r>
            <w:r>
              <w:rPr>
                <w:rFonts w:ascii="Times New Roman" w:hAnsi="Times New Roman" w:cs="Times New Roman"/>
                <w:sz w:val="18"/>
                <w:szCs w:val="18"/>
              </w:rPr>
              <w:t>储罐</w:t>
            </w:r>
            <w:r>
              <w:rPr>
                <w:rFonts w:hint="eastAsia" w:ascii="Times New Roman" w:hAnsi="Times New Roman" w:cs="Times New Roman"/>
                <w:sz w:val="18"/>
                <w:szCs w:val="18"/>
              </w:rPr>
              <w:t>设置有液位计和液位上限、下限报警装置和压力上限报警装置</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ascii="Times New Roman" w:hAnsi="Times New Roman" w:cs="Times New Roman"/>
                <w:sz w:val="18"/>
                <w:szCs w:val="18"/>
              </w:rPr>
              <w:t>LNG</w:t>
            </w:r>
            <w:r>
              <w:rPr>
                <w:rFonts w:hint="eastAsia" w:ascii="Times New Roman" w:hAnsi="Times New Roman" w:cs="Times New Roman"/>
                <w:sz w:val="18"/>
                <w:szCs w:val="18"/>
              </w:rPr>
              <w:t>、CNG</w:t>
            </w:r>
            <w:r>
              <w:rPr>
                <w:rFonts w:ascii="Times New Roman" w:hAnsi="Times New Roman" w:cs="Times New Roman"/>
                <w:sz w:val="18"/>
                <w:szCs w:val="18"/>
              </w:rPr>
              <w:t>泵应设超温、超压自动停泵保护装置。潜液泵罐设置就地指示的温度和压力检测仪表</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储罐及附属设施保养记录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储罐紧急切断阀设置</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储罐定期检测</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地上式储罐应设有完好的水喷淋系统</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6</w:t>
            </w:r>
          </w:p>
        </w:tc>
        <w:tc>
          <w:tcPr>
            <w:tcW w:w="141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安全阀与阀门</w:t>
            </w: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安全阀外观应良好无损，在检验有效期内，阀体上应悬挂校验铭牌，并注明下次校验时间，检验铅封应完好</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阀门外观无损坏和严重锈蚀现象</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阀门应悬挂开关标志牌</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7</w:t>
            </w:r>
          </w:p>
        </w:tc>
        <w:tc>
          <w:tcPr>
            <w:tcW w:w="141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工艺管道</w:t>
            </w: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管道外表应完好无损，无腐蚀迹象，外表防腐涂层应完好，无燃气泄漏现象</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管道应有色标和流向标志</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75" w:type="dxa"/>
            <w:vMerge w:val="restart"/>
            <w:vAlign w:val="center"/>
          </w:tcPr>
          <w:p>
            <w:pPr>
              <w:spacing w:line="320" w:lineRule="exact"/>
              <w:jc w:val="center"/>
              <w:rPr>
                <w:rFonts w:cs="Times New Roman" w:asciiTheme="minorEastAsia" w:hAnsiTheme="minorEastAsia"/>
                <w:sz w:val="18"/>
                <w:szCs w:val="18"/>
              </w:rPr>
            </w:pPr>
          </w:p>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8</w:t>
            </w:r>
          </w:p>
          <w:p>
            <w:pPr>
              <w:spacing w:line="320" w:lineRule="exact"/>
              <w:jc w:val="center"/>
              <w:rPr>
                <w:rFonts w:cs="Times New Roman" w:asciiTheme="minorEastAsia" w:hAnsiTheme="minorEastAsia"/>
                <w:sz w:val="18"/>
                <w:szCs w:val="18"/>
              </w:rPr>
            </w:pPr>
          </w:p>
        </w:tc>
        <w:tc>
          <w:tcPr>
            <w:tcW w:w="1418"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仪表和自控系统</w:t>
            </w: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压力表应在检定周期内，检定标签应贴在表壳上</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站内爆炸危险厂房和装置区内应设置燃气探测器，并定期检测</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9</w:t>
            </w:r>
          </w:p>
        </w:tc>
        <w:tc>
          <w:tcPr>
            <w:tcW w:w="141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消防与安全设施</w:t>
            </w: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灭火器配备与维护</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安全警示标志</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消防泵测试保养记录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bl>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表A.2 液化天然气、压缩天然气加气站安全监督检查表（续）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3402"/>
        <w:gridCol w:w="965"/>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134"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340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96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42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9</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消防与安全设施</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站内消防栓维护保养</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站内爆炸危险场所的电力装置防爆</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防雷设施及定期检测情况</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应急救援器材配备及检查记录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10</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公用辅助设施</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变配电室应急照明设备</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电缆安全防护</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配电室防鼠措施、绝缘垫、绝缘工具配备</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11</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安全管理台账</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应急预案及应急演练记录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安全会议台账</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安全教育台账</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安全管理制度和操作规程及考核台账</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安全检查与隐患整改台账</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特种设施定期检测台账</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安全负责人、安全管理人员在职在岗台账</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75" w:type="dxa"/>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检查评述</w:t>
            </w:r>
          </w:p>
        </w:tc>
        <w:tc>
          <w:tcPr>
            <w:tcW w:w="7923" w:type="dxa"/>
            <w:gridSpan w:val="4"/>
            <w:vAlign w:val="center"/>
          </w:tcPr>
          <w:p>
            <w:pPr>
              <w:spacing w:line="320" w:lineRule="exact"/>
              <w:jc w:val="center"/>
              <w:rPr>
                <w:rFonts w:cs="Times New Roman" w:asciiTheme="minorEastAsia" w:hAnsiTheme="minorEastAsia"/>
                <w:sz w:val="18"/>
                <w:szCs w:val="18"/>
              </w:rPr>
            </w:pPr>
          </w:p>
        </w:tc>
      </w:tr>
    </w:tbl>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rPr>
          <w:rFonts w:ascii="Times New Roman" w:hAnsi="Times New Roman" w:cs="Times New Roman"/>
          <w:b/>
          <w:bCs/>
          <w:szCs w:val="21"/>
        </w:rPr>
      </w:pPr>
    </w:p>
    <w:p>
      <w:pPr>
        <w:spacing w:line="440" w:lineRule="exact"/>
        <w:rPr>
          <w:rFonts w:ascii="Times New Roman" w:hAnsi="Times New Roman" w:cs="Times New Roman"/>
          <w:b/>
          <w:bCs/>
          <w:szCs w:val="21"/>
        </w:rPr>
      </w:pPr>
    </w:p>
    <w:p>
      <w:pPr>
        <w:spacing w:line="280" w:lineRule="exact"/>
        <w:jc w:val="center"/>
        <w:outlineLvl w:val="0"/>
        <w:rPr>
          <w:rFonts w:ascii="Times New Roman" w:hAnsi="Times New Roman" w:cs="Times New Roman"/>
          <w:b/>
          <w:bCs/>
          <w:szCs w:val="21"/>
        </w:rPr>
      </w:pPr>
      <w:bookmarkStart w:id="60" w:name="_Toc6189"/>
      <w:bookmarkStart w:id="61" w:name="_Toc9567"/>
      <w:bookmarkStart w:id="62" w:name="_Toc16467"/>
      <w:r>
        <w:rPr>
          <w:rFonts w:hint="eastAsia" w:ascii="Times New Roman" w:hAnsi="Times New Roman" w:cs="Times New Roman"/>
          <w:b/>
          <w:bCs/>
          <w:szCs w:val="21"/>
        </w:rPr>
        <w:t>附录B</w:t>
      </w:r>
      <w:bookmarkEnd w:id="60"/>
      <w:bookmarkEnd w:id="61"/>
      <w:bookmarkEnd w:id="62"/>
    </w:p>
    <w:p>
      <w:pPr>
        <w:spacing w:line="280" w:lineRule="exact"/>
        <w:jc w:val="center"/>
        <w:rPr>
          <w:rFonts w:ascii="Times New Roman" w:hAnsi="Times New Roman" w:cs="Times New Roman"/>
          <w:b/>
          <w:bCs/>
          <w:szCs w:val="21"/>
        </w:rPr>
      </w:pPr>
      <w:r>
        <w:rPr>
          <w:rFonts w:hint="eastAsia" w:ascii="Times New Roman" w:hAnsi="Times New Roman" w:cs="Times New Roman"/>
          <w:b/>
          <w:bCs/>
          <w:szCs w:val="21"/>
        </w:rPr>
        <w:t>（规范性附录）</w:t>
      </w:r>
    </w:p>
    <w:p>
      <w:pPr>
        <w:spacing w:line="280" w:lineRule="exact"/>
        <w:jc w:val="center"/>
        <w:rPr>
          <w:rFonts w:ascii="Times New Roman" w:hAnsi="Times New Roman" w:cs="Times New Roman"/>
          <w:b/>
          <w:bCs/>
          <w:szCs w:val="21"/>
        </w:rPr>
      </w:pPr>
      <w:r>
        <w:rPr>
          <w:rFonts w:hint="eastAsia" w:ascii="Times New Roman" w:hAnsi="Times New Roman" w:cs="Times New Roman"/>
          <w:b/>
          <w:bCs/>
          <w:szCs w:val="21"/>
        </w:rPr>
        <w:t>企业开展安全监督检查内容</w:t>
      </w:r>
    </w:p>
    <w:p>
      <w:pPr>
        <w:spacing w:line="440" w:lineRule="exact"/>
        <w:jc w:val="center"/>
        <w:rPr>
          <w:rFonts w:ascii="Times New Roman" w:hAnsi="Times New Roman" w:cs="Times New Roman"/>
          <w:szCs w:val="21"/>
        </w:rPr>
      </w:pPr>
      <w:r>
        <w:rPr>
          <w:rFonts w:hint="eastAsia" w:ascii="Times New Roman" w:hAnsi="Times New Roman" w:cs="Times New Roman"/>
          <w:szCs w:val="21"/>
        </w:rPr>
        <w:t>汽车加气经营企业开展安全自查以及对场站开展安全检查，包括以下安全检查表：</w:t>
      </w: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表B.1 汽车加气运营企业安全自检表</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2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p>
        </w:tc>
        <w:tc>
          <w:tcPr>
            <w:tcW w:w="1468" w:type="dxa"/>
            <w:vMerge w:val="restart"/>
            <w:vAlign w:val="center"/>
          </w:tcPr>
          <w:p>
            <w:pPr>
              <w:spacing w:line="320" w:lineRule="exact"/>
              <w:jc w:val="center"/>
              <w:rPr>
                <w:rFonts w:ascii="Times New Roman" w:hAnsi="Times New Roman" w:cs="Times New Roman"/>
                <w:bCs/>
                <w:sz w:val="18"/>
                <w:szCs w:val="18"/>
              </w:rPr>
            </w:pPr>
            <w:r>
              <w:rPr>
                <w:rFonts w:hint="eastAsia" w:ascii="Times New Roman" w:hAnsi="Times New Roman" w:cs="Times New Roman"/>
                <w:bCs/>
                <w:sz w:val="18"/>
                <w:szCs w:val="18"/>
              </w:rPr>
              <w:t>安全管理机构与人员</w:t>
            </w: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安全生产委员会（领导小组）设置</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安全生产管理机构设置</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专职安全管理人员配备</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bCs/>
                <w:sz w:val="18"/>
                <w:szCs w:val="18"/>
              </w:rPr>
            </w:pPr>
            <w:r>
              <w:rPr>
                <w:rFonts w:hint="eastAsia" w:ascii="Times New Roman" w:hAnsi="Times New Roman" w:cs="Times New Roman"/>
                <w:bCs/>
                <w:sz w:val="18"/>
                <w:szCs w:val="18"/>
              </w:rPr>
              <w:t>2</w:t>
            </w:r>
          </w:p>
        </w:tc>
        <w:tc>
          <w:tcPr>
            <w:tcW w:w="1468" w:type="dxa"/>
            <w:vMerge w:val="restart"/>
            <w:vAlign w:val="center"/>
          </w:tcPr>
          <w:p>
            <w:pPr>
              <w:spacing w:line="280" w:lineRule="exact"/>
              <w:jc w:val="center"/>
              <w:rPr>
                <w:rFonts w:ascii="Times New Roman" w:hAnsi="Times New Roman" w:cs="Times New Roman"/>
                <w:bCs/>
                <w:sz w:val="18"/>
                <w:szCs w:val="18"/>
              </w:rPr>
            </w:pPr>
            <w:r>
              <w:rPr>
                <w:rFonts w:hint="eastAsia" w:ascii="Times New Roman" w:hAnsi="Times New Roman" w:cs="Times New Roman"/>
                <w:bCs/>
                <w:sz w:val="18"/>
                <w:szCs w:val="18"/>
              </w:rPr>
              <w:t>安全生产规章制度</w:t>
            </w: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部门安全生产责任书</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岗位安全生产责任制</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安全生产责任制检查考核记录</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安全生产管理制度</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安全操作规程</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安全制度和操作规程检查考核记录</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双重防控机制，危险作业分级审批</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cs="Times New Roman" w:asciiTheme="majorEastAsia" w:hAnsiTheme="majorEastAsia" w:eastAsiaTheme="majorEastAsia"/>
                <w:bCs/>
                <w:sz w:val="18"/>
                <w:szCs w:val="18"/>
              </w:rPr>
            </w:pPr>
            <w:r>
              <w:rPr>
                <w:rFonts w:hint="eastAsia" w:cs="Times New Roman" w:asciiTheme="majorEastAsia" w:hAnsiTheme="majorEastAsia" w:eastAsiaTheme="majorEastAsia"/>
                <w:bCs/>
                <w:sz w:val="18"/>
                <w:szCs w:val="18"/>
              </w:rPr>
              <w:t>3</w:t>
            </w:r>
          </w:p>
        </w:tc>
        <w:tc>
          <w:tcPr>
            <w:tcW w:w="1468" w:type="dxa"/>
            <w:vMerge w:val="restart"/>
            <w:vAlign w:val="center"/>
          </w:tcPr>
          <w:p>
            <w:pPr>
              <w:spacing w:line="280" w:lineRule="exact"/>
              <w:jc w:val="center"/>
              <w:rPr>
                <w:rFonts w:cs="Times New Roman" w:asciiTheme="majorEastAsia" w:hAnsiTheme="majorEastAsia" w:eastAsiaTheme="majorEastAsia"/>
                <w:bCs/>
                <w:sz w:val="18"/>
                <w:szCs w:val="18"/>
              </w:rPr>
            </w:pPr>
            <w:r>
              <w:rPr>
                <w:rFonts w:hint="eastAsia" w:cs="Times New Roman" w:asciiTheme="majorEastAsia" w:hAnsiTheme="majorEastAsia" w:eastAsiaTheme="majorEastAsia"/>
                <w:bCs/>
                <w:sz w:val="18"/>
                <w:szCs w:val="18"/>
              </w:rPr>
              <w:t>抢险与事故管理</w:t>
            </w: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抢险点设置和抢险人员配备</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抢险设备配置</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生产安全事故应急预案及应急预案备案及修订</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应急演练台账</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安全事故和抢险管理台账</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440" w:lineRule="exact"/>
              <w:jc w:val="center"/>
              <w:rPr>
                <w:rFonts w:ascii="Times New Roman" w:hAnsi="Times New Roman" w:cs="Times New Roman"/>
                <w:bCs/>
                <w:sz w:val="18"/>
                <w:szCs w:val="18"/>
              </w:rPr>
            </w:pPr>
            <w:r>
              <w:rPr>
                <w:rFonts w:hint="eastAsia" w:ascii="Times New Roman" w:hAnsi="Times New Roman" w:cs="Times New Roman"/>
                <w:bCs/>
                <w:sz w:val="18"/>
                <w:szCs w:val="18"/>
              </w:rPr>
              <w:t>4</w:t>
            </w:r>
          </w:p>
        </w:tc>
        <w:tc>
          <w:tcPr>
            <w:tcW w:w="1468" w:type="dxa"/>
            <w:vMerge w:val="restart"/>
            <w:vAlign w:val="center"/>
          </w:tcPr>
          <w:p>
            <w:pPr>
              <w:spacing w:line="440" w:lineRule="exact"/>
              <w:jc w:val="center"/>
              <w:rPr>
                <w:rFonts w:ascii="Times New Roman" w:hAnsi="Times New Roman" w:cs="Times New Roman"/>
                <w:bCs/>
                <w:sz w:val="18"/>
                <w:szCs w:val="18"/>
              </w:rPr>
            </w:pPr>
            <w:r>
              <w:rPr>
                <w:rFonts w:hint="eastAsia" w:ascii="Times New Roman" w:hAnsi="Times New Roman" w:cs="Times New Roman"/>
                <w:bCs/>
                <w:sz w:val="18"/>
                <w:szCs w:val="18"/>
              </w:rPr>
              <w:t>安全教育培训</w:t>
            </w: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安全教育培训计划</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企业主要负责人和安全管理人员培训</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三级安全教育培训</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在岗从业人员安全培训</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特种作业人员教育</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安全培训台账</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定期开展安全宣传</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5</w:t>
            </w:r>
          </w:p>
          <w:p>
            <w:pPr>
              <w:spacing w:line="280" w:lineRule="exact"/>
              <w:jc w:val="center"/>
              <w:rPr>
                <w:rFonts w:ascii="Times New Roman" w:hAnsi="Times New Roman" w:cs="Times New Roman"/>
                <w:sz w:val="18"/>
                <w:szCs w:val="18"/>
              </w:rPr>
            </w:pPr>
          </w:p>
        </w:tc>
        <w:tc>
          <w:tcPr>
            <w:tcW w:w="1468" w:type="dxa"/>
            <w:vMerge w:val="restart"/>
            <w:vAlign w:val="center"/>
          </w:tcPr>
          <w:p>
            <w:pPr>
              <w:spacing w:line="280" w:lineRule="exact"/>
              <w:rPr>
                <w:rFonts w:ascii="Times New Roman" w:hAnsi="Times New Roman" w:cs="Times New Roman"/>
                <w:sz w:val="18"/>
                <w:szCs w:val="18"/>
              </w:rPr>
            </w:pPr>
            <w:r>
              <w:rPr>
                <w:rFonts w:hint="eastAsia" w:ascii="Times New Roman" w:hAnsi="Times New Roman" w:cs="Times New Roman"/>
                <w:sz w:val="18"/>
                <w:szCs w:val="18"/>
              </w:rPr>
              <w:t>安全生产管理</w:t>
            </w: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重大危险源管理评价</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非重大危险源燃气企业</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安全投入保障</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安全检查计划</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exact"/>
        </w:trPr>
        <w:tc>
          <w:tcPr>
            <w:tcW w:w="648" w:type="dxa"/>
            <w:vMerge w:val="continue"/>
            <w:vAlign w:val="center"/>
          </w:tcPr>
          <w:p>
            <w:pPr>
              <w:spacing w:line="280" w:lineRule="exact"/>
              <w:jc w:val="center"/>
              <w:rPr>
                <w:rFonts w:ascii="Times New Roman" w:hAnsi="Times New Roman" w:cs="Times New Roman"/>
                <w:sz w:val="18"/>
                <w:szCs w:val="18"/>
              </w:rPr>
            </w:pPr>
          </w:p>
        </w:tc>
        <w:tc>
          <w:tcPr>
            <w:tcW w:w="1468" w:type="dxa"/>
            <w:vMerge w:val="continue"/>
            <w:vAlign w:val="center"/>
          </w:tcPr>
          <w:p>
            <w:pPr>
              <w:spacing w:line="280" w:lineRule="exact"/>
              <w:jc w:val="center"/>
              <w:rPr>
                <w:rFonts w:ascii="Times New Roman" w:hAnsi="Times New Roman" w:cs="Times New Roman"/>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企业安全生产自查记录</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加气站安全检查记录</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隐患治理方案</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安全隐患整改记录</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安全分析会议台账</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bl>
    <w:p>
      <w:pPr>
        <w:spacing w:line="440" w:lineRule="exact"/>
        <w:rPr>
          <w:rFonts w:ascii="Times New Roman" w:hAnsi="Times New Roman" w:cs="Times New Roman"/>
          <w:bCs/>
          <w:szCs w:val="21"/>
        </w:rPr>
      </w:pPr>
    </w:p>
    <w:p>
      <w:pPr>
        <w:spacing w:line="440" w:lineRule="exact"/>
        <w:rPr>
          <w:rFonts w:ascii="Times New Roman" w:hAnsi="Times New Roman" w:cs="Times New Roman"/>
          <w:b/>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表B.1 汽车加气运营企业安全自检表（续）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1468" w:type="dxa"/>
            <w:vMerge w:val="restart"/>
            <w:vAlign w:val="center"/>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任职资格</w:t>
            </w: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企业主要负责人任职资格</w:t>
            </w:r>
          </w:p>
        </w:tc>
        <w:tc>
          <w:tcPr>
            <w:tcW w:w="1174" w:type="dxa"/>
          </w:tcPr>
          <w:p>
            <w:pPr>
              <w:spacing w:line="300" w:lineRule="exact"/>
              <w:jc w:val="center"/>
              <w:rPr>
                <w:rFonts w:ascii="Times New Roman" w:hAnsi="Times New Roman" w:cs="Times New Roman"/>
                <w:sz w:val="18"/>
                <w:szCs w:val="18"/>
              </w:rPr>
            </w:pPr>
          </w:p>
        </w:tc>
        <w:tc>
          <w:tcPr>
            <w:tcW w:w="1929" w:type="dxa"/>
          </w:tcPr>
          <w:p>
            <w:pPr>
              <w:spacing w:line="30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00" w:lineRule="exact"/>
              <w:jc w:val="center"/>
              <w:rPr>
                <w:rFonts w:ascii="Times New Roman" w:hAnsi="Times New Roman" w:cs="Times New Roman"/>
                <w:sz w:val="18"/>
                <w:szCs w:val="18"/>
              </w:rPr>
            </w:pPr>
          </w:p>
        </w:tc>
        <w:tc>
          <w:tcPr>
            <w:tcW w:w="1468" w:type="dxa"/>
            <w:vMerge w:val="continue"/>
          </w:tcPr>
          <w:p>
            <w:pPr>
              <w:spacing w:line="30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安全管理人员任职资格</w:t>
            </w:r>
          </w:p>
        </w:tc>
        <w:tc>
          <w:tcPr>
            <w:tcW w:w="1174" w:type="dxa"/>
          </w:tcPr>
          <w:p>
            <w:pPr>
              <w:spacing w:line="300" w:lineRule="exact"/>
              <w:jc w:val="center"/>
              <w:rPr>
                <w:rFonts w:ascii="Times New Roman" w:hAnsi="Times New Roman" w:cs="Times New Roman"/>
                <w:sz w:val="18"/>
                <w:szCs w:val="18"/>
              </w:rPr>
            </w:pPr>
          </w:p>
        </w:tc>
        <w:tc>
          <w:tcPr>
            <w:tcW w:w="1929" w:type="dxa"/>
          </w:tcPr>
          <w:p>
            <w:pPr>
              <w:spacing w:line="30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00" w:lineRule="exact"/>
              <w:jc w:val="center"/>
              <w:rPr>
                <w:rFonts w:ascii="Times New Roman" w:hAnsi="Times New Roman" w:cs="Times New Roman"/>
                <w:sz w:val="18"/>
                <w:szCs w:val="18"/>
              </w:rPr>
            </w:pPr>
          </w:p>
        </w:tc>
        <w:tc>
          <w:tcPr>
            <w:tcW w:w="1468" w:type="dxa"/>
            <w:vMerge w:val="continue"/>
          </w:tcPr>
          <w:p>
            <w:pPr>
              <w:spacing w:line="30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抢险人员任职资格</w:t>
            </w:r>
          </w:p>
        </w:tc>
        <w:tc>
          <w:tcPr>
            <w:tcW w:w="1174" w:type="dxa"/>
          </w:tcPr>
          <w:p>
            <w:pPr>
              <w:spacing w:line="300" w:lineRule="exact"/>
              <w:jc w:val="center"/>
              <w:rPr>
                <w:rFonts w:ascii="Times New Roman" w:hAnsi="Times New Roman" w:cs="Times New Roman"/>
                <w:sz w:val="18"/>
                <w:szCs w:val="18"/>
              </w:rPr>
            </w:pPr>
          </w:p>
        </w:tc>
        <w:tc>
          <w:tcPr>
            <w:tcW w:w="1929" w:type="dxa"/>
          </w:tcPr>
          <w:p>
            <w:pPr>
              <w:spacing w:line="30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00" w:lineRule="exact"/>
              <w:jc w:val="center"/>
              <w:rPr>
                <w:rFonts w:ascii="Times New Roman" w:hAnsi="Times New Roman" w:cs="Times New Roman"/>
                <w:sz w:val="18"/>
                <w:szCs w:val="18"/>
              </w:rPr>
            </w:pPr>
          </w:p>
        </w:tc>
        <w:tc>
          <w:tcPr>
            <w:tcW w:w="1468" w:type="dxa"/>
            <w:vMerge w:val="continue"/>
          </w:tcPr>
          <w:p>
            <w:pPr>
              <w:spacing w:line="30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燃气设施运行维护管理人员任职资格</w:t>
            </w:r>
          </w:p>
        </w:tc>
        <w:tc>
          <w:tcPr>
            <w:tcW w:w="1174" w:type="dxa"/>
          </w:tcPr>
          <w:p>
            <w:pPr>
              <w:spacing w:line="300" w:lineRule="exact"/>
              <w:jc w:val="center"/>
              <w:rPr>
                <w:rFonts w:ascii="Times New Roman" w:hAnsi="Times New Roman" w:cs="Times New Roman"/>
                <w:sz w:val="18"/>
                <w:szCs w:val="18"/>
              </w:rPr>
            </w:pPr>
          </w:p>
        </w:tc>
        <w:tc>
          <w:tcPr>
            <w:tcW w:w="1929" w:type="dxa"/>
          </w:tcPr>
          <w:p>
            <w:pPr>
              <w:spacing w:line="30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00" w:lineRule="exact"/>
              <w:jc w:val="center"/>
              <w:rPr>
                <w:rFonts w:ascii="Times New Roman" w:hAnsi="Times New Roman" w:cs="Times New Roman"/>
                <w:sz w:val="18"/>
                <w:szCs w:val="18"/>
              </w:rPr>
            </w:pPr>
          </w:p>
        </w:tc>
        <w:tc>
          <w:tcPr>
            <w:tcW w:w="1468" w:type="dxa"/>
            <w:vMerge w:val="continue"/>
          </w:tcPr>
          <w:p>
            <w:pPr>
              <w:spacing w:line="30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各任职资格证有效时间</w:t>
            </w:r>
          </w:p>
        </w:tc>
        <w:tc>
          <w:tcPr>
            <w:tcW w:w="1174" w:type="dxa"/>
          </w:tcPr>
          <w:p>
            <w:pPr>
              <w:spacing w:line="300" w:lineRule="exact"/>
              <w:jc w:val="center"/>
              <w:rPr>
                <w:rFonts w:ascii="Times New Roman" w:hAnsi="Times New Roman" w:cs="Times New Roman"/>
                <w:sz w:val="18"/>
                <w:szCs w:val="18"/>
              </w:rPr>
            </w:pPr>
          </w:p>
        </w:tc>
        <w:tc>
          <w:tcPr>
            <w:tcW w:w="1929" w:type="dxa"/>
          </w:tcPr>
          <w:p>
            <w:pPr>
              <w:spacing w:line="30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检查评述</w:t>
            </w:r>
          </w:p>
        </w:tc>
        <w:tc>
          <w:tcPr>
            <w:tcW w:w="7950" w:type="dxa"/>
            <w:gridSpan w:val="4"/>
          </w:tcPr>
          <w:p>
            <w:pPr>
              <w:spacing w:line="280" w:lineRule="exact"/>
              <w:jc w:val="center"/>
              <w:rPr>
                <w:rFonts w:ascii="Times New Roman" w:hAnsi="Times New Roman" w:cs="Times New Roman"/>
                <w:sz w:val="18"/>
                <w:szCs w:val="18"/>
              </w:rPr>
            </w:pPr>
          </w:p>
        </w:tc>
      </w:tr>
    </w:tbl>
    <w:p>
      <w:pPr>
        <w:spacing w:line="440" w:lineRule="exact"/>
        <w:rPr>
          <w:rFonts w:ascii="Times New Roman" w:hAnsi="Times New Roman" w:cs="Times New Roman"/>
          <w:bCs/>
          <w:szCs w:val="21"/>
        </w:rPr>
      </w:pPr>
    </w:p>
    <w:p>
      <w:pPr>
        <w:spacing w:line="440" w:lineRule="exact"/>
        <w:rPr>
          <w:rFonts w:ascii="Times New Roman" w:hAnsi="Times New Roman" w:cs="Times New Roman"/>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表B.2 液化天然气、压缩天然气加气站企业安全监督检查表</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防火间距</w:t>
            </w: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站外建筑的防火间距</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站内建筑的防火间距</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站内道路</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站内围墙</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车辆加气</w:t>
            </w: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入站管理</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车辆安全停放</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加气警示牌</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3</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劳动保护</w:t>
            </w: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使用合格劳动防护用品</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作业人员服饰</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p>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加气区设施配置和维护</w:t>
            </w: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加气机设置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事故切断阀</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防撞设施</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加气区防静电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加气岛</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加气枪维护保养</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拉断阀配置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加气枪定期检测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视频监控系统工作状况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燃气探测器工作状况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灭火器配置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灭火器定期检查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加气安全管理措施</w:t>
            </w: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安全操作规程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vAlign w:val="center"/>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安全警示标志</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vAlign w:val="center"/>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线路防爆处理</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vAlign w:val="center"/>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电器防爆功能</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bl>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表B.2  液化天然气、压缩天然气加气企业安全监督检查表（续）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罐车装卸安全操作</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车辆安全停放</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司机当前位置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装卸前资质检查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静电接地报警装置连接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280" w:lineRule="exact"/>
              <w:jc w:val="center"/>
              <w:rPr>
                <w:rFonts w:ascii="Times New Roman" w:hAnsi="Times New Roman" w:cs="Times New Roman"/>
                <w:sz w:val="18"/>
                <w:szCs w:val="18"/>
              </w:rPr>
            </w:pPr>
          </w:p>
        </w:tc>
        <w:tc>
          <w:tcPr>
            <w:tcW w:w="1468" w:type="dxa"/>
            <w:vMerge w:val="continue"/>
            <w:vAlign w:val="center"/>
          </w:tcPr>
          <w:p>
            <w:pPr>
              <w:spacing w:line="28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装卸前安全检查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加气机作业状态</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装卸过程值守</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7</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装卸台柱设施配置及维护</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拉断阀配置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拉断阀安装使用</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拉断阀定期维护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装卸软管工作状况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装卸软管定期检测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防静电接地报警装置安装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防静电接地报警装置维护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防静电接地报警装置定期检测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灭火器定期检查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燃气探测器安装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燃气探测器工作状况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8</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装卸台柱安全管理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安全操作规程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安全警示标志</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装卸检查记录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9</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储罐区及管道系统设施配置和维护</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储罐布置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地上LNG储罐</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LNG、CNG撬装设备</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地下或半地下LNG储罐</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紧急切断阀设置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液位计和液位上限、下限报警装置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LNG、CNG泵设置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LNG、CNG管道及保冷</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集中放散管</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释放静电装置设置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储罐及附属设施保养</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阀门定期维护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紧急切断阀定期维护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管道金属线跨接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罐区防静电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bl>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表B.2 液化天然气、压缩天然气加气站企业安全监督检查表（续）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9</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储罐区及管道系统设施配置和维护</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安全阀运行状况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压力表运行状况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压力表定期检测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灭火器检查维护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露天罐体喷淋系统维护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防爆型视频监控探头安装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视频监控探头工作状况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燃气探测器安装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燃气探测器工作状况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10</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罐区安全管理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罐区安全操作规程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罐区安全警示标志</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管道标识</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储罐运行状况记录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出入口警示标志</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出入检查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出入检查台账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11</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配电发电系统安全管理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配电室门窗安全防护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配电房电缆安全防护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配电室防鼠</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供电设施工作状况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应急灯</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防触电措施</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消防器材、防护用品配置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加气作业区配电线路</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发电机现场测试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12</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消防供水系统安全管理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消防供水系统设置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供水时间</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消防泵测试保养</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tabs>
                <w:tab w:val="left" w:pos="2217"/>
              </w:tabs>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消防泵运行状况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消防水池和引水灌水位</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站内消防栓维护保养</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消防供水系统现场测试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13</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站区安全环境</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应急指引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报警设施</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火种箱及出入检查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消防通道</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防撞措施</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bl>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表B.2 液化天然气、压缩天然气加气站企业安全监督检查表（续）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13</w:t>
            </w:r>
          </w:p>
        </w:tc>
        <w:tc>
          <w:tcPr>
            <w:tcW w:w="1468" w:type="dxa"/>
            <w:vAlign w:val="center"/>
          </w:tcPr>
          <w:p>
            <w:pPr>
              <w:spacing w:line="280" w:lineRule="exact"/>
              <w:jc w:val="left"/>
              <w:rPr>
                <w:rFonts w:ascii="Times New Roman" w:hAnsi="Times New Roman" w:cs="Times New Roman"/>
                <w:sz w:val="18"/>
                <w:szCs w:val="18"/>
              </w:rPr>
            </w:pPr>
            <w:r>
              <w:rPr>
                <w:rFonts w:hint="eastAsia" w:ascii="Times New Roman" w:hAnsi="Times New Roman" w:cs="Times New Roman"/>
                <w:sz w:val="18"/>
                <w:szCs w:val="18"/>
              </w:rPr>
              <w:t>站区安全环境</w:t>
            </w:r>
          </w:p>
        </w:tc>
        <w:tc>
          <w:tcPr>
            <w:tcW w:w="3379" w:type="dxa"/>
            <w:vAlign w:val="center"/>
          </w:tcPr>
          <w:p>
            <w:pPr>
              <w:spacing w:line="280" w:lineRule="exact"/>
              <w:jc w:val="left"/>
              <w:rPr>
                <w:rFonts w:ascii="Times New Roman" w:hAnsi="Times New Roman" w:cs="Times New Roman"/>
                <w:sz w:val="18"/>
                <w:szCs w:val="18"/>
              </w:rPr>
            </w:pPr>
            <w:r>
              <w:rPr>
                <w:rFonts w:hint="eastAsia" w:ascii="Times New Roman" w:hAnsi="Times New Roman" w:cs="Times New Roman"/>
                <w:sz w:val="18"/>
                <w:szCs w:val="18"/>
              </w:rPr>
              <w:t>释放静电装置设置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14</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值班管理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值班管理制度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燃气探测器安装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应急救援器材配置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应急救援器材定期检查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紧急切断开关设置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紧急切断开关定期测试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值班记录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15</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检维修及危险作业许可管理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设备设施检维修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检维修开工许可证、危险作业许可证</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检维修安全防护设施</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危险作业许可管理</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16</w:t>
            </w:r>
          </w:p>
        </w:tc>
        <w:tc>
          <w:tcPr>
            <w:tcW w:w="1468" w:type="dxa"/>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防雷防静电设施及其检测</w:t>
            </w:r>
          </w:p>
        </w:tc>
        <w:tc>
          <w:tcPr>
            <w:tcW w:w="3379" w:type="dxa"/>
            <w:vAlign w:val="center"/>
          </w:tcPr>
          <w:p>
            <w:pPr>
              <w:spacing w:line="280" w:lineRule="exact"/>
              <w:rPr>
                <w:rFonts w:ascii="Times New Roman" w:hAnsi="Times New Roman" w:cs="Times New Roman"/>
                <w:sz w:val="18"/>
                <w:szCs w:val="18"/>
              </w:rPr>
            </w:pPr>
            <w:r>
              <w:rPr>
                <w:rFonts w:hint="eastAsia" w:ascii="Times New Roman" w:hAnsi="Times New Roman" w:cs="Times New Roman"/>
                <w:sz w:val="18"/>
                <w:szCs w:val="18"/>
              </w:rPr>
              <w:t>爆炸危险环境场所的防雷装置检测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17</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安全评价报告</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安全评价报告结论</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安全评价报告有效期</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18</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应急管理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应急预案</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定期开展应急演练</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应急演练记录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19</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安全培训</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安全教育培训计划</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新入职员工安全教育培训</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在岗从业人员安全培训</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“四新”教育培训</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安全培训记录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操作规程检查考核</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20</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安全管理台账</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安全会议台账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安全检查台账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安全管理制度和操作规程考核台账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安全隐患整改台账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重要设施定期检查维护台账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特种设施定期检测台账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21</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关键岗位人员配备和持证上岗管理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主要负责人在岗情况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关键岗位作业人员配备</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关键岗位作业人员任职资格</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检查评述</w:t>
            </w:r>
          </w:p>
        </w:tc>
        <w:tc>
          <w:tcPr>
            <w:tcW w:w="7950" w:type="dxa"/>
            <w:gridSpan w:val="4"/>
          </w:tcPr>
          <w:p>
            <w:pPr>
              <w:spacing w:line="360" w:lineRule="exact"/>
              <w:jc w:val="center"/>
              <w:rPr>
                <w:rFonts w:ascii="Times New Roman" w:hAnsi="Times New Roman" w:cs="Times New Roman"/>
                <w:sz w:val="18"/>
                <w:szCs w:val="18"/>
              </w:rPr>
            </w:pPr>
          </w:p>
        </w:tc>
      </w:tr>
    </w:tbl>
    <w:p>
      <w:pPr>
        <w:spacing w:line="440" w:lineRule="exact"/>
        <w:rPr>
          <w:rFonts w:ascii="Times New Roman" w:hAnsi="Times New Roman" w:cs="Times New Roman"/>
          <w:bCs/>
          <w:szCs w:val="21"/>
        </w:rPr>
      </w:pPr>
    </w:p>
    <w:p>
      <w:pPr>
        <w:spacing w:line="400" w:lineRule="exact"/>
        <w:ind w:firstLine="1124" w:firstLineChars="400"/>
        <w:jc w:val="center"/>
        <w:outlineLvl w:val="0"/>
        <w:rPr>
          <w:rFonts w:ascii="Times New Roman" w:hAnsi="Times New Roman" w:cs="Times New Roman"/>
          <w:b/>
          <w:bCs/>
          <w:sz w:val="28"/>
          <w:szCs w:val="28"/>
        </w:rPr>
      </w:pPr>
      <w:bookmarkStart w:id="63" w:name="_Toc28894"/>
      <w:bookmarkStart w:id="64" w:name="_Toc9940"/>
      <w:bookmarkStart w:id="65" w:name="_Toc16765"/>
      <w:bookmarkStart w:id="66" w:name="_Toc24546"/>
      <w:bookmarkStart w:id="67" w:name="_Toc495"/>
      <w:bookmarkStart w:id="68" w:name="_Toc25536"/>
      <w:r>
        <w:rPr>
          <w:rFonts w:hint="eastAsia" w:ascii="Times New Roman" w:hAnsi="Times New Roman" w:cs="Times New Roman"/>
          <w:b/>
          <w:bCs/>
          <w:sz w:val="28"/>
          <w:szCs w:val="28"/>
        </w:rPr>
        <w:t>本标准用词说明</w:t>
      </w:r>
      <w:bookmarkEnd w:id="63"/>
      <w:bookmarkEnd w:id="64"/>
      <w:bookmarkEnd w:id="65"/>
      <w:bookmarkEnd w:id="66"/>
      <w:bookmarkEnd w:id="67"/>
      <w:bookmarkEnd w:id="68"/>
    </w:p>
    <w:p>
      <w:pPr>
        <w:spacing w:line="440" w:lineRule="exact"/>
        <w:jc w:val="center"/>
        <w:rPr>
          <w:rFonts w:ascii="Times New Roman" w:hAnsi="Times New Roman" w:cs="Times New Roman"/>
          <w:b/>
          <w:bCs/>
          <w:sz w:val="24"/>
          <w:szCs w:val="24"/>
        </w:rPr>
      </w:pPr>
    </w:p>
    <w:p>
      <w:pPr>
        <w:spacing w:line="400" w:lineRule="atLeast"/>
        <w:jc w:val="left"/>
        <w:rPr>
          <w:rFonts w:cs="Times New Roman" w:asciiTheme="minorEastAsia" w:hAnsiTheme="minorEastAsia"/>
          <w:bCs/>
          <w:sz w:val="24"/>
          <w:szCs w:val="24"/>
        </w:rPr>
      </w:pPr>
      <w:r>
        <w:rPr>
          <w:rFonts w:hint="eastAsia" w:cs="Times New Roman" w:asciiTheme="minorEastAsia" w:hAnsiTheme="minorEastAsia"/>
          <w:bCs/>
          <w:sz w:val="24"/>
          <w:szCs w:val="24"/>
        </w:rPr>
        <w:t>1 为便于在执行本标准条文时区别对待，对要求严格程度不同的用词说明如下：</w:t>
      </w:r>
    </w:p>
    <w:p>
      <w:pPr>
        <w:pStyle w:val="23"/>
        <w:numPr>
          <w:ilvl w:val="0"/>
          <w:numId w:val="1"/>
        </w:numPr>
        <w:spacing w:line="400" w:lineRule="atLeast"/>
        <w:ind w:firstLineChars="0"/>
        <w:jc w:val="left"/>
        <w:outlineLvl w:val="0"/>
        <w:rPr>
          <w:rFonts w:cs="Times New Roman" w:asciiTheme="minorEastAsia" w:hAnsiTheme="minorEastAsia"/>
          <w:bCs/>
          <w:sz w:val="24"/>
          <w:szCs w:val="24"/>
        </w:rPr>
      </w:pPr>
      <w:bookmarkStart w:id="69" w:name="_Toc14502"/>
      <w:bookmarkStart w:id="70" w:name="_Toc2392"/>
      <w:bookmarkStart w:id="71" w:name="_Toc1359"/>
      <w:bookmarkStart w:id="72" w:name="_Toc4205"/>
      <w:bookmarkStart w:id="73" w:name="_Toc29265"/>
      <w:bookmarkStart w:id="74" w:name="_Toc25865"/>
      <w:r>
        <w:rPr>
          <w:rFonts w:hint="eastAsia" w:cs="Times New Roman" w:asciiTheme="minorEastAsia" w:hAnsiTheme="minorEastAsia"/>
          <w:bCs/>
          <w:sz w:val="24"/>
          <w:szCs w:val="24"/>
        </w:rPr>
        <w:t>表示很严格，非这样做不可的：</w:t>
      </w:r>
      <w:bookmarkEnd w:id="69"/>
      <w:bookmarkEnd w:id="70"/>
      <w:bookmarkEnd w:id="71"/>
      <w:bookmarkEnd w:id="72"/>
      <w:bookmarkEnd w:id="73"/>
      <w:bookmarkEnd w:id="74"/>
    </w:p>
    <w:p>
      <w:pPr>
        <w:spacing w:line="400" w:lineRule="atLeast"/>
        <w:ind w:firstLine="960" w:firstLineChars="400"/>
        <w:rPr>
          <w:rFonts w:cs="Times New Roman" w:asciiTheme="minorEastAsia" w:hAnsiTheme="minorEastAsia"/>
          <w:bCs/>
          <w:sz w:val="24"/>
          <w:szCs w:val="24"/>
        </w:rPr>
      </w:pPr>
      <w:r>
        <w:rPr>
          <w:rFonts w:hint="eastAsia" w:cs="Times New Roman" w:asciiTheme="minorEastAsia" w:hAnsiTheme="minorEastAsia"/>
          <w:bCs/>
          <w:sz w:val="24"/>
          <w:szCs w:val="24"/>
        </w:rPr>
        <w:t>正面词采用“必须”，反面词采用“严禁”；</w:t>
      </w:r>
    </w:p>
    <w:p>
      <w:pPr>
        <w:pStyle w:val="23"/>
        <w:numPr>
          <w:ilvl w:val="0"/>
          <w:numId w:val="1"/>
        </w:numPr>
        <w:spacing w:line="400" w:lineRule="atLeast"/>
        <w:ind w:firstLineChars="0"/>
        <w:outlineLvl w:val="0"/>
        <w:rPr>
          <w:rFonts w:cs="Times New Roman" w:asciiTheme="minorEastAsia" w:hAnsiTheme="minorEastAsia"/>
          <w:bCs/>
          <w:sz w:val="24"/>
          <w:szCs w:val="24"/>
        </w:rPr>
      </w:pPr>
      <w:bookmarkStart w:id="75" w:name="_Toc30177"/>
      <w:bookmarkStart w:id="76" w:name="_Toc23196"/>
      <w:bookmarkStart w:id="77" w:name="_Toc21384"/>
      <w:bookmarkStart w:id="78" w:name="_Toc2369"/>
      <w:bookmarkStart w:id="79" w:name="_Toc31380"/>
      <w:bookmarkStart w:id="80" w:name="_Toc22536"/>
      <w:r>
        <w:rPr>
          <w:rFonts w:hint="eastAsia" w:cs="Times New Roman" w:asciiTheme="minorEastAsia" w:hAnsiTheme="minorEastAsia"/>
          <w:bCs/>
          <w:sz w:val="24"/>
          <w:szCs w:val="24"/>
        </w:rPr>
        <w:t>表示严格，在正常情况下均应这样做的：</w:t>
      </w:r>
      <w:bookmarkEnd w:id="75"/>
      <w:bookmarkEnd w:id="76"/>
      <w:bookmarkEnd w:id="77"/>
      <w:bookmarkEnd w:id="78"/>
      <w:bookmarkEnd w:id="79"/>
      <w:bookmarkEnd w:id="80"/>
    </w:p>
    <w:p>
      <w:pPr>
        <w:pStyle w:val="23"/>
        <w:spacing w:line="400" w:lineRule="atLeast"/>
        <w:ind w:left="885" w:firstLine="0" w:firstLineChars="0"/>
        <w:rPr>
          <w:rFonts w:cs="Times New Roman" w:asciiTheme="minorEastAsia" w:hAnsiTheme="minorEastAsia"/>
          <w:bCs/>
          <w:sz w:val="24"/>
          <w:szCs w:val="24"/>
        </w:rPr>
      </w:pPr>
      <w:r>
        <w:rPr>
          <w:rFonts w:hint="eastAsia" w:cs="Times New Roman" w:asciiTheme="minorEastAsia" w:hAnsiTheme="minorEastAsia"/>
          <w:bCs/>
          <w:sz w:val="24"/>
          <w:szCs w:val="24"/>
        </w:rPr>
        <w:t>正面词采用“应”，反面词采用“不应”或“不得”；</w:t>
      </w:r>
    </w:p>
    <w:p>
      <w:pPr>
        <w:pStyle w:val="23"/>
        <w:numPr>
          <w:ilvl w:val="0"/>
          <w:numId w:val="1"/>
        </w:numPr>
        <w:spacing w:line="400" w:lineRule="atLeast"/>
        <w:ind w:firstLineChars="0"/>
        <w:outlineLvl w:val="0"/>
        <w:rPr>
          <w:rFonts w:cs="Times New Roman" w:asciiTheme="minorEastAsia" w:hAnsiTheme="minorEastAsia"/>
          <w:bCs/>
          <w:sz w:val="24"/>
          <w:szCs w:val="24"/>
        </w:rPr>
      </w:pPr>
      <w:bookmarkStart w:id="81" w:name="_Toc16154"/>
      <w:bookmarkStart w:id="82" w:name="_Toc7402"/>
      <w:bookmarkStart w:id="83" w:name="_Toc25297"/>
      <w:bookmarkStart w:id="84" w:name="_Toc29138"/>
      <w:bookmarkStart w:id="85" w:name="_Toc24683"/>
      <w:bookmarkStart w:id="86" w:name="_Toc24680"/>
      <w:r>
        <w:rPr>
          <w:rFonts w:hint="eastAsia" w:cs="Times New Roman" w:asciiTheme="minorEastAsia" w:hAnsiTheme="minorEastAsia"/>
          <w:bCs/>
          <w:sz w:val="24"/>
          <w:szCs w:val="24"/>
        </w:rPr>
        <w:t>表示允许稍有选择，在条件许可时首先应这样做的：</w:t>
      </w:r>
      <w:bookmarkEnd w:id="81"/>
      <w:bookmarkEnd w:id="82"/>
      <w:bookmarkEnd w:id="83"/>
      <w:bookmarkEnd w:id="84"/>
      <w:bookmarkEnd w:id="85"/>
      <w:bookmarkEnd w:id="86"/>
    </w:p>
    <w:p>
      <w:pPr>
        <w:pStyle w:val="23"/>
        <w:spacing w:line="400" w:lineRule="atLeast"/>
        <w:ind w:left="885" w:firstLine="0" w:firstLineChars="0"/>
        <w:rPr>
          <w:rFonts w:cs="Times New Roman" w:asciiTheme="minorEastAsia" w:hAnsiTheme="minorEastAsia"/>
          <w:bCs/>
          <w:sz w:val="24"/>
          <w:szCs w:val="24"/>
        </w:rPr>
      </w:pPr>
      <w:r>
        <w:rPr>
          <w:rFonts w:hint="eastAsia" w:cs="Times New Roman" w:asciiTheme="minorEastAsia" w:hAnsiTheme="minorEastAsia"/>
          <w:bCs/>
          <w:sz w:val="24"/>
          <w:szCs w:val="24"/>
        </w:rPr>
        <w:t>正面词采用“宜”，反面词采用“不宜”；</w:t>
      </w:r>
    </w:p>
    <w:p>
      <w:pPr>
        <w:pStyle w:val="23"/>
        <w:numPr>
          <w:ilvl w:val="0"/>
          <w:numId w:val="1"/>
        </w:numPr>
        <w:spacing w:line="400" w:lineRule="atLeast"/>
        <w:ind w:firstLineChars="0"/>
        <w:outlineLvl w:val="0"/>
        <w:rPr>
          <w:rFonts w:cs="Times New Roman" w:asciiTheme="minorEastAsia" w:hAnsiTheme="minorEastAsia"/>
          <w:bCs/>
          <w:sz w:val="24"/>
          <w:szCs w:val="24"/>
        </w:rPr>
      </w:pPr>
      <w:bookmarkStart w:id="87" w:name="_Toc30484"/>
      <w:bookmarkStart w:id="88" w:name="_Toc20246"/>
      <w:bookmarkStart w:id="89" w:name="_Toc1443"/>
      <w:bookmarkStart w:id="90" w:name="_Toc31408"/>
      <w:bookmarkStart w:id="91" w:name="_Toc13588"/>
      <w:bookmarkStart w:id="92" w:name="_Toc14595"/>
      <w:r>
        <w:rPr>
          <w:rFonts w:hint="eastAsia" w:cs="Times New Roman" w:asciiTheme="minorEastAsia" w:hAnsiTheme="minorEastAsia"/>
          <w:bCs/>
          <w:sz w:val="24"/>
          <w:szCs w:val="24"/>
        </w:rPr>
        <w:t>表示有选择，在一定条件下可以这样做的，采用“可”。</w:t>
      </w:r>
      <w:bookmarkEnd w:id="87"/>
      <w:bookmarkEnd w:id="88"/>
      <w:bookmarkEnd w:id="89"/>
      <w:bookmarkEnd w:id="90"/>
      <w:bookmarkEnd w:id="91"/>
      <w:bookmarkEnd w:id="92"/>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2  条文中指明应按其他有关标准执行的写法为：“应符合……的规定”或“应按……执行”。</w:t>
      </w: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rPr>
          <w:rFonts w:ascii="Times New Roman" w:hAnsi="Times New Roman" w:cs="Times New Roman"/>
          <w:b/>
          <w:bCs/>
          <w:sz w:val="30"/>
          <w:szCs w:val="30"/>
        </w:rPr>
      </w:pPr>
    </w:p>
    <w:p>
      <w:pPr>
        <w:spacing w:line="400" w:lineRule="exact"/>
        <w:ind w:firstLine="1124" w:firstLineChars="400"/>
        <w:jc w:val="center"/>
        <w:outlineLvl w:val="0"/>
        <w:rPr>
          <w:rFonts w:ascii="Times New Roman" w:hAnsi="Times New Roman" w:cs="Times New Roman"/>
          <w:b/>
          <w:bCs/>
          <w:sz w:val="28"/>
          <w:szCs w:val="28"/>
        </w:rPr>
      </w:pPr>
      <w:bookmarkStart w:id="93" w:name="_Toc16030"/>
      <w:bookmarkStart w:id="94" w:name="_Toc25367"/>
      <w:bookmarkStart w:id="95" w:name="_Toc31541"/>
      <w:bookmarkStart w:id="96" w:name="_Toc23219"/>
      <w:bookmarkStart w:id="97" w:name="_Toc17310"/>
      <w:bookmarkStart w:id="98" w:name="_Toc7364"/>
      <w:r>
        <w:rPr>
          <w:rFonts w:hint="eastAsia" w:ascii="Times New Roman" w:hAnsi="Times New Roman" w:cs="Times New Roman"/>
          <w:b/>
          <w:bCs/>
          <w:sz w:val="28"/>
          <w:szCs w:val="28"/>
        </w:rPr>
        <w:t>引用标准名录</w:t>
      </w:r>
      <w:bookmarkEnd w:id="93"/>
      <w:bookmarkEnd w:id="94"/>
      <w:bookmarkEnd w:id="95"/>
      <w:bookmarkEnd w:id="96"/>
      <w:bookmarkEnd w:id="97"/>
      <w:bookmarkEnd w:id="98"/>
    </w:p>
    <w:p>
      <w:pPr>
        <w:spacing w:line="400" w:lineRule="exact"/>
        <w:ind w:firstLine="1124" w:firstLineChars="400"/>
        <w:jc w:val="center"/>
        <w:outlineLvl w:val="0"/>
        <w:rPr>
          <w:rFonts w:ascii="Times New Roman" w:hAnsi="Times New Roman" w:cs="Times New Roman"/>
          <w:b/>
          <w:bCs/>
          <w:sz w:val="28"/>
          <w:szCs w:val="28"/>
        </w:rPr>
      </w:pPr>
    </w:p>
    <w:p>
      <w:pPr>
        <w:spacing w:line="400" w:lineRule="atLeast"/>
        <w:jc w:val="center"/>
        <w:rPr>
          <w:rFonts w:cs="Times New Roman" w:asciiTheme="minorEastAsia" w:hAnsiTheme="minorEastAsia"/>
          <w:bCs/>
          <w:sz w:val="24"/>
          <w:szCs w:val="24"/>
        </w:rPr>
      </w:pPr>
      <w:r>
        <w:rPr>
          <w:rFonts w:hint="eastAsia" w:cs="Times New Roman" w:asciiTheme="minorEastAsia" w:hAnsiTheme="minorEastAsia"/>
          <w:bCs/>
          <w:sz w:val="24"/>
          <w:szCs w:val="24"/>
        </w:rPr>
        <w:t xml:space="preserve">  下列文件对于本文件的应用是必不可少的。凡是注日期的引用文件，仅所注日期的版本适用于本文件。凡是不注日期的引用文件，其最新版本（包括所有的</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修改单）适用于本文件。</w:t>
      </w:r>
    </w:p>
    <w:p>
      <w:pPr>
        <w:numPr>
          <w:ilvl w:val="0"/>
          <w:numId w:val="2"/>
        </w:numPr>
        <w:spacing w:line="400" w:lineRule="atLeast"/>
        <w:outlineLvl w:val="0"/>
        <w:rPr>
          <w:rFonts w:cs="Times New Roman" w:asciiTheme="minorEastAsia" w:hAnsiTheme="minorEastAsia"/>
          <w:bCs/>
          <w:sz w:val="24"/>
          <w:szCs w:val="24"/>
        </w:rPr>
      </w:pPr>
      <w:bookmarkStart w:id="99" w:name="_Toc13654"/>
      <w:bookmarkStart w:id="100" w:name="_Toc32150"/>
      <w:r>
        <w:rPr>
          <w:rFonts w:hint="eastAsia" w:cs="Times New Roman" w:asciiTheme="minorEastAsia" w:hAnsiTheme="minorEastAsia"/>
          <w:sz w:val="24"/>
          <w:szCs w:val="24"/>
        </w:rPr>
        <w:t>《建筑消防设施的维护管理》</w:t>
      </w:r>
      <w:r>
        <w:rPr>
          <w:rFonts w:ascii="Times New Roman" w:hAnsi="Times New Roman" w:cs="Times New Roman"/>
          <w:sz w:val="24"/>
          <w:szCs w:val="24"/>
        </w:rPr>
        <w:t>GB 25201</w:t>
      </w:r>
      <w:bookmarkEnd w:id="99"/>
      <w:bookmarkEnd w:id="100"/>
    </w:p>
    <w:p>
      <w:pPr>
        <w:numPr>
          <w:ilvl w:val="0"/>
          <w:numId w:val="2"/>
        </w:numPr>
        <w:spacing w:line="400" w:lineRule="atLeast"/>
        <w:outlineLvl w:val="0"/>
        <w:rPr>
          <w:rFonts w:cs="Times New Roman" w:asciiTheme="minorEastAsia" w:hAnsiTheme="minorEastAsia"/>
          <w:bCs/>
          <w:sz w:val="24"/>
          <w:szCs w:val="24"/>
        </w:rPr>
      </w:pPr>
      <w:r>
        <w:rPr>
          <w:rFonts w:hint="eastAsia" w:cs="Times New Roman" w:asciiTheme="minorEastAsia" w:hAnsiTheme="minorEastAsia"/>
          <w:sz w:val="24"/>
          <w:szCs w:val="24"/>
        </w:rPr>
        <w:t>《生产经营单位生产安全事故应急预案编制导则》</w:t>
      </w:r>
      <w:r>
        <w:rPr>
          <w:rFonts w:ascii="Times New Roman" w:hAnsi="Times New Roman" w:cs="Times New Roman"/>
          <w:sz w:val="24"/>
          <w:szCs w:val="24"/>
        </w:rPr>
        <w:t>GB/T 29639</w:t>
      </w:r>
    </w:p>
    <w:p>
      <w:pPr>
        <w:numPr>
          <w:ilvl w:val="0"/>
          <w:numId w:val="2"/>
        </w:numPr>
        <w:spacing w:line="400" w:lineRule="atLeast"/>
        <w:outlineLvl w:val="0"/>
        <w:rPr>
          <w:rFonts w:cs="Times New Roman" w:asciiTheme="minorEastAsia" w:hAnsiTheme="minorEastAsia"/>
          <w:bCs/>
          <w:sz w:val="24"/>
          <w:szCs w:val="24"/>
        </w:rPr>
      </w:pPr>
      <w:r>
        <w:rPr>
          <w:rFonts w:hint="eastAsia" w:cs="Times New Roman" w:asciiTheme="minorEastAsia" w:hAnsiTheme="minorEastAsia"/>
          <w:sz w:val="24"/>
          <w:szCs w:val="24"/>
        </w:rPr>
        <w:t>《企业安全生产标准化基本规范》</w:t>
      </w:r>
      <w:r>
        <w:rPr>
          <w:rFonts w:ascii="Times New Roman" w:hAnsi="Times New Roman" w:cs="Times New Roman"/>
          <w:sz w:val="24"/>
          <w:szCs w:val="24"/>
        </w:rPr>
        <w:t>GB/T 33000</w:t>
      </w:r>
    </w:p>
    <w:p>
      <w:pPr>
        <w:spacing w:line="400" w:lineRule="atLeast"/>
        <w:outlineLvl w:val="0"/>
        <w:rPr>
          <w:rFonts w:cs="Times New Roman" w:asciiTheme="minorEastAsia" w:hAnsiTheme="minorEastAsia"/>
          <w:sz w:val="24"/>
          <w:szCs w:val="24"/>
        </w:rPr>
      </w:pPr>
      <w:bookmarkStart w:id="101" w:name="_Toc30167"/>
      <w:bookmarkStart w:id="102" w:name="_Toc28536"/>
      <w:bookmarkStart w:id="103" w:name="_Toc30293"/>
      <w:bookmarkStart w:id="104" w:name="_Toc9605"/>
      <w:bookmarkStart w:id="105" w:name="_Toc20702"/>
      <w:bookmarkStart w:id="106" w:name="_Toc31109"/>
      <w:r>
        <w:rPr>
          <w:rFonts w:hint="eastAsia" w:cs="Times New Roman" w:asciiTheme="minorEastAsia" w:hAnsiTheme="minorEastAsia"/>
          <w:sz w:val="24"/>
          <w:szCs w:val="24"/>
        </w:rPr>
        <w:t>4、《</w:t>
      </w:r>
      <w:r>
        <w:rPr>
          <w:rFonts w:cs="Times New Roman" w:asciiTheme="minorEastAsia" w:hAnsiTheme="minorEastAsia"/>
          <w:sz w:val="24"/>
          <w:szCs w:val="24"/>
        </w:rPr>
        <w:t>城镇燃气设计规范</w:t>
      </w:r>
      <w:r>
        <w:rPr>
          <w:rFonts w:hint="eastAsia" w:cs="Times New Roman" w:asciiTheme="minorEastAsia" w:hAnsiTheme="minorEastAsia"/>
          <w:sz w:val="24"/>
          <w:szCs w:val="24"/>
        </w:rPr>
        <w:t>》</w:t>
      </w:r>
      <w:r>
        <w:rPr>
          <w:rFonts w:ascii="Times New Roman" w:hAnsi="Times New Roman" w:cs="Times New Roman"/>
          <w:sz w:val="24"/>
          <w:szCs w:val="24"/>
        </w:rPr>
        <w:t>GB 50028</w:t>
      </w:r>
      <w:bookmarkEnd w:id="101"/>
      <w:bookmarkEnd w:id="102"/>
      <w:bookmarkEnd w:id="103"/>
      <w:bookmarkEnd w:id="104"/>
      <w:bookmarkEnd w:id="105"/>
      <w:bookmarkEnd w:id="106"/>
    </w:p>
    <w:p>
      <w:pPr>
        <w:spacing w:line="400" w:lineRule="atLeast"/>
        <w:outlineLvl w:val="0"/>
        <w:rPr>
          <w:rFonts w:cs="Times New Roman" w:asciiTheme="minorEastAsia" w:hAnsiTheme="minorEastAsia"/>
          <w:sz w:val="24"/>
          <w:szCs w:val="24"/>
        </w:rPr>
      </w:pPr>
      <w:bookmarkStart w:id="107" w:name="_Toc23429"/>
      <w:bookmarkStart w:id="108" w:name="_Toc13025"/>
      <w:bookmarkStart w:id="109" w:name="_Toc6063"/>
      <w:bookmarkStart w:id="110" w:name="_Toc29975"/>
      <w:bookmarkStart w:id="111" w:name="_Toc20707"/>
      <w:bookmarkStart w:id="112" w:name="_Toc23277"/>
      <w:r>
        <w:rPr>
          <w:rFonts w:hint="eastAsia" w:cs="Times New Roman" w:asciiTheme="minorEastAsia" w:hAnsiTheme="minorEastAsia"/>
          <w:sz w:val="24"/>
          <w:szCs w:val="24"/>
        </w:rPr>
        <w:t>5、《</w:t>
      </w:r>
      <w:r>
        <w:rPr>
          <w:rFonts w:cs="Times New Roman" w:asciiTheme="minorEastAsia" w:hAnsiTheme="minorEastAsia"/>
          <w:sz w:val="24"/>
          <w:szCs w:val="24"/>
        </w:rPr>
        <w:t>建筑物防雷设计规范</w:t>
      </w:r>
      <w:r>
        <w:rPr>
          <w:rFonts w:hint="eastAsia" w:cs="Times New Roman" w:asciiTheme="minorEastAsia" w:hAnsiTheme="minorEastAsia"/>
          <w:sz w:val="24"/>
          <w:szCs w:val="24"/>
        </w:rPr>
        <w:t>》</w:t>
      </w:r>
      <w:r>
        <w:rPr>
          <w:rFonts w:ascii="Times New Roman" w:hAnsi="Times New Roman" w:cs="Times New Roman"/>
          <w:sz w:val="24"/>
          <w:szCs w:val="24"/>
        </w:rPr>
        <w:t>GB 50057</w:t>
      </w:r>
      <w:bookmarkEnd w:id="107"/>
      <w:bookmarkEnd w:id="108"/>
      <w:bookmarkEnd w:id="109"/>
      <w:bookmarkEnd w:id="110"/>
      <w:bookmarkEnd w:id="111"/>
      <w:bookmarkEnd w:id="112"/>
    </w:p>
    <w:p>
      <w:pPr>
        <w:spacing w:line="400" w:lineRule="atLeast"/>
        <w:outlineLvl w:val="0"/>
        <w:rPr>
          <w:rFonts w:cs="Times New Roman" w:asciiTheme="minorEastAsia" w:hAnsiTheme="minorEastAsia"/>
          <w:sz w:val="24"/>
          <w:szCs w:val="24"/>
        </w:rPr>
      </w:pPr>
      <w:r>
        <w:rPr>
          <w:rFonts w:hint="eastAsia" w:cs="Times New Roman" w:asciiTheme="minorEastAsia" w:hAnsiTheme="minorEastAsia"/>
          <w:sz w:val="24"/>
          <w:szCs w:val="24"/>
        </w:rPr>
        <w:t>6、《汽车加油加气站设计与施工规范》</w:t>
      </w:r>
      <w:r>
        <w:rPr>
          <w:rFonts w:ascii="Times New Roman" w:hAnsi="Times New Roman" w:cs="Times New Roman"/>
          <w:sz w:val="24"/>
          <w:szCs w:val="24"/>
        </w:rPr>
        <w:t>GB 50156</w:t>
      </w:r>
    </w:p>
    <w:p>
      <w:pPr>
        <w:spacing w:line="400" w:lineRule="atLeast"/>
        <w:outlineLvl w:val="0"/>
        <w:rPr>
          <w:rFonts w:cs="Times New Roman" w:asciiTheme="minorEastAsia" w:hAnsiTheme="minorEastAsia"/>
          <w:sz w:val="24"/>
          <w:szCs w:val="24"/>
        </w:rPr>
      </w:pPr>
      <w:r>
        <w:rPr>
          <w:rFonts w:hint="eastAsia" w:cs="Times New Roman" w:asciiTheme="minorEastAsia" w:hAnsiTheme="minorEastAsia"/>
          <w:sz w:val="24"/>
          <w:szCs w:val="24"/>
        </w:rPr>
        <w:t>7、《燃气工程项目规范》</w:t>
      </w:r>
      <w:r>
        <w:rPr>
          <w:rFonts w:ascii="Times New Roman" w:hAnsi="Times New Roman" w:cs="Times New Roman"/>
          <w:sz w:val="24"/>
          <w:szCs w:val="24"/>
        </w:rPr>
        <w:t>GB 55009</w:t>
      </w:r>
    </w:p>
    <w:p>
      <w:pPr>
        <w:spacing w:line="400" w:lineRule="atLeast"/>
        <w:outlineLvl w:val="0"/>
        <w:rPr>
          <w:rFonts w:cs="Times New Roman" w:asciiTheme="minorEastAsia" w:hAnsiTheme="minorEastAsia"/>
          <w:sz w:val="24"/>
          <w:szCs w:val="24"/>
        </w:rPr>
      </w:pPr>
      <w:r>
        <w:rPr>
          <w:rFonts w:hint="eastAsia" w:cs="Times New Roman" w:asciiTheme="minorEastAsia" w:hAnsiTheme="minorEastAsia"/>
          <w:sz w:val="24"/>
          <w:szCs w:val="24"/>
        </w:rPr>
        <w:t>8、《城镇燃气设施运行、维护和抢修安全技术规程》</w:t>
      </w:r>
      <w:r>
        <w:rPr>
          <w:rFonts w:ascii="Times New Roman" w:hAnsi="Times New Roman" w:cs="Times New Roman"/>
          <w:sz w:val="24"/>
          <w:szCs w:val="24"/>
        </w:rPr>
        <w:t>CJJ 51</w:t>
      </w:r>
    </w:p>
    <w:p>
      <w:pPr>
        <w:spacing w:line="400" w:lineRule="atLeast"/>
        <w:outlineLvl w:val="0"/>
        <w:rPr>
          <w:rFonts w:cs="Times New Roman" w:asciiTheme="minorEastAsia" w:hAnsiTheme="minorEastAsia"/>
          <w:sz w:val="24"/>
          <w:szCs w:val="24"/>
        </w:rPr>
      </w:pPr>
      <w:bookmarkStart w:id="113" w:name="_Toc4280"/>
      <w:bookmarkStart w:id="114" w:name="_Toc23615"/>
      <w:bookmarkStart w:id="115" w:name="_Toc15634"/>
      <w:bookmarkStart w:id="116" w:name="_Toc3086"/>
      <w:bookmarkStart w:id="117" w:name="_Toc17063"/>
      <w:bookmarkStart w:id="118" w:name="_Toc21155"/>
      <w:r>
        <w:rPr>
          <w:rFonts w:hint="eastAsia" w:cs="Times New Roman" w:asciiTheme="minorEastAsia" w:hAnsiTheme="minorEastAsia"/>
          <w:sz w:val="24"/>
          <w:szCs w:val="24"/>
        </w:rPr>
        <w:t>9、《企业安全文化建设导则》</w:t>
      </w:r>
      <w:r>
        <w:rPr>
          <w:rFonts w:ascii="Times New Roman" w:hAnsi="Times New Roman" w:cs="Times New Roman"/>
          <w:sz w:val="24"/>
          <w:szCs w:val="24"/>
        </w:rPr>
        <w:t>AQ/T 9004</w:t>
      </w:r>
      <w:bookmarkEnd w:id="113"/>
      <w:bookmarkEnd w:id="114"/>
      <w:bookmarkEnd w:id="115"/>
      <w:bookmarkEnd w:id="116"/>
      <w:bookmarkEnd w:id="117"/>
      <w:bookmarkEnd w:id="118"/>
    </w:p>
    <w:p>
      <w:pPr>
        <w:spacing w:line="400" w:lineRule="atLeast"/>
        <w:outlineLvl w:val="0"/>
        <w:rPr>
          <w:rFonts w:cs="Times New Roman" w:asciiTheme="minorEastAsia" w:hAnsiTheme="minorEastAsia"/>
          <w:sz w:val="24"/>
          <w:szCs w:val="24"/>
        </w:rPr>
      </w:pPr>
      <w:bookmarkStart w:id="119" w:name="_Toc8775"/>
      <w:bookmarkStart w:id="120" w:name="_Toc7041"/>
      <w:bookmarkStart w:id="121" w:name="_Toc6977"/>
      <w:bookmarkStart w:id="122" w:name="_Toc7437"/>
      <w:bookmarkStart w:id="123" w:name="_Toc11841"/>
      <w:bookmarkStart w:id="124" w:name="_Toc11293"/>
      <w:r>
        <w:rPr>
          <w:rFonts w:hint="eastAsia" w:cs="Times New Roman" w:asciiTheme="minorEastAsia" w:hAnsiTheme="minorEastAsia"/>
          <w:sz w:val="24"/>
          <w:szCs w:val="24"/>
        </w:rPr>
        <w:t>10、《石油化工静电接地规范》</w:t>
      </w:r>
      <w:r>
        <w:rPr>
          <w:rFonts w:ascii="Times New Roman" w:hAnsi="Times New Roman" w:cs="Times New Roman"/>
          <w:sz w:val="24"/>
          <w:szCs w:val="24"/>
        </w:rPr>
        <w:t>SH/T 3097</w:t>
      </w:r>
      <w:bookmarkEnd w:id="119"/>
      <w:bookmarkEnd w:id="120"/>
      <w:bookmarkEnd w:id="121"/>
      <w:bookmarkEnd w:id="122"/>
      <w:bookmarkEnd w:id="123"/>
      <w:bookmarkEnd w:id="124"/>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rPr>
          <w:rFonts w:ascii="Times New Roman" w:hAnsi="Times New Roman" w:cs="Times New Roman"/>
          <w:b/>
          <w:bCs/>
          <w:sz w:val="30"/>
          <w:szCs w:val="30"/>
        </w:rPr>
      </w:pPr>
    </w:p>
    <w:p>
      <w:pPr>
        <w:spacing w:line="400" w:lineRule="exact"/>
        <w:ind w:firstLine="1205" w:firstLineChars="400"/>
        <w:jc w:val="center"/>
        <w:rPr>
          <w:rFonts w:ascii="Times New Roman" w:hAnsi="Times New Roman" w:cs="Times New Roman"/>
          <w:b/>
          <w:bCs/>
          <w:sz w:val="30"/>
          <w:szCs w:val="30"/>
        </w:rPr>
      </w:pPr>
    </w:p>
    <w:p>
      <w:pPr>
        <w:spacing w:line="400" w:lineRule="exact"/>
        <w:ind w:firstLine="1205" w:firstLineChars="400"/>
        <w:jc w:val="center"/>
        <w:outlineLvl w:val="0"/>
        <w:rPr>
          <w:rFonts w:ascii="Times New Roman" w:hAnsi="Times New Roman" w:cs="Times New Roman"/>
          <w:b/>
          <w:bCs/>
          <w:sz w:val="30"/>
          <w:szCs w:val="30"/>
        </w:rPr>
      </w:pPr>
      <w:bookmarkStart w:id="125" w:name="_Toc27493"/>
      <w:bookmarkStart w:id="126" w:name="_Toc8002"/>
      <w:bookmarkStart w:id="127" w:name="_Toc11560"/>
      <w:bookmarkStart w:id="128" w:name="_Toc28882"/>
      <w:bookmarkStart w:id="129" w:name="_Toc22641"/>
      <w:bookmarkStart w:id="130" w:name="_Toc32208"/>
    </w:p>
    <w:p>
      <w:pPr>
        <w:spacing w:line="400" w:lineRule="exact"/>
        <w:outlineLvl w:val="0"/>
        <w:rPr>
          <w:rFonts w:ascii="Times New Roman" w:hAnsi="Times New Roman" w:cs="Times New Roman"/>
          <w:b/>
          <w:bCs/>
          <w:sz w:val="30"/>
          <w:szCs w:val="30"/>
        </w:rPr>
      </w:pPr>
    </w:p>
    <w:p>
      <w:pPr>
        <w:spacing w:line="400" w:lineRule="exact"/>
        <w:ind w:firstLine="1124" w:firstLineChars="400"/>
        <w:jc w:val="center"/>
        <w:outlineLvl w:val="0"/>
        <w:rPr>
          <w:rFonts w:ascii="Times New Roman" w:hAnsi="Times New Roman" w:cs="Times New Roman"/>
          <w:b/>
          <w:bCs/>
          <w:sz w:val="28"/>
          <w:szCs w:val="28"/>
        </w:rPr>
      </w:pPr>
      <w:r>
        <w:rPr>
          <w:rFonts w:hint="eastAsia" w:ascii="Times New Roman" w:hAnsi="Times New Roman" w:cs="Times New Roman"/>
          <w:b/>
          <w:bCs/>
          <w:sz w:val="28"/>
          <w:szCs w:val="28"/>
        </w:rPr>
        <w:t>云南省地方标准</w:t>
      </w:r>
      <w:bookmarkEnd w:id="125"/>
      <w:bookmarkEnd w:id="126"/>
      <w:bookmarkEnd w:id="127"/>
      <w:bookmarkEnd w:id="128"/>
      <w:bookmarkEnd w:id="129"/>
      <w:bookmarkEnd w:id="130"/>
    </w:p>
    <w:p>
      <w:pPr>
        <w:spacing w:line="400" w:lineRule="exact"/>
        <w:outlineLvl w:val="0"/>
        <w:rPr>
          <w:rFonts w:ascii="Times New Roman" w:hAnsi="Times New Roman" w:cs="Times New Roman"/>
          <w:b/>
          <w:bCs/>
          <w:sz w:val="30"/>
          <w:szCs w:val="30"/>
        </w:rPr>
      </w:pPr>
    </w:p>
    <w:p>
      <w:pPr>
        <w:spacing w:line="400" w:lineRule="exact"/>
        <w:outlineLvl w:val="0"/>
        <w:rPr>
          <w:rFonts w:ascii="Times New Roman" w:hAnsi="Times New Roman" w:cs="Times New Roman"/>
          <w:b/>
          <w:bCs/>
          <w:sz w:val="30"/>
          <w:szCs w:val="30"/>
        </w:rPr>
      </w:pPr>
    </w:p>
    <w:p>
      <w:pPr>
        <w:spacing w:line="440" w:lineRule="exact"/>
        <w:jc w:val="center"/>
        <w:outlineLvl w:val="0"/>
        <w:rPr>
          <w:rFonts w:ascii="Times New Roman" w:hAnsi="Times New Roman" w:eastAsia="宋体" w:cs="Times New Roman"/>
          <w:sz w:val="24"/>
          <w:szCs w:val="24"/>
        </w:rPr>
      </w:pPr>
      <w:bookmarkStart w:id="131" w:name="_Toc13015"/>
      <w:bookmarkStart w:id="132" w:name="_Toc1969"/>
      <w:bookmarkStart w:id="133" w:name="_Toc25223"/>
      <w:bookmarkStart w:id="134" w:name="_Toc18290"/>
      <w:bookmarkStart w:id="135" w:name="_Toc25654"/>
      <w:bookmarkStart w:id="136" w:name="_Toc30660"/>
      <w:r>
        <w:rPr>
          <w:rFonts w:ascii="Times New Roman" w:hAnsi="Times New Roman" w:eastAsia="宋体" w:cs="Times New Roman"/>
          <w:sz w:val="24"/>
          <w:szCs w:val="24"/>
        </w:rPr>
        <w:t>燃气运营企业安全管理标准第3部分：汽车加气运营企业</w:t>
      </w:r>
      <w:bookmarkEnd w:id="131"/>
      <w:bookmarkEnd w:id="132"/>
      <w:bookmarkEnd w:id="133"/>
      <w:bookmarkEnd w:id="134"/>
      <w:bookmarkEnd w:id="135"/>
      <w:bookmarkEnd w:id="136"/>
    </w:p>
    <w:p>
      <w:pPr>
        <w:spacing w:line="440" w:lineRule="exact"/>
        <w:jc w:val="center"/>
        <w:outlineLvl w:val="0"/>
        <w:rPr>
          <w:rFonts w:ascii="Times New Roman" w:hAnsi="Times New Roman" w:eastAsia="宋体" w:cs="Times New Roman"/>
          <w:sz w:val="24"/>
          <w:szCs w:val="24"/>
        </w:rPr>
      </w:pPr>
      <w:r>
        <w:rPr>
          <w:rFonts w:ascii="Times New Roman" w:hAnsi="Times New Roman" w:eastAsia="宋体" w:cs="Times New Roman"/>
          <w:sz w:val="24"/>
          <w:szCs w:val="24"/>
        </w:rPr>
        <w:t>DB 53/T XXX-</w:t>
      </w:r>
      <w:r>
        <w:rPr>
          <w:rFonts w:hint="eastAsia" w:ascii="Times New Roman" w:hAnsi="Times New Roman" w:eastAsia="宋体" w:cs="Times New Roman"/>
          <w:sz w:val="24"/>
          <w:szCs w:val="24"/>
        </w:rPr>
        <w:t>XXX</w:t>
      </w:r>
    </w:p>
    <w:p>
      <w:pPr>
        <w:spacing w:line="440" w:lineRule="exact"/>
        <w:jc w:val="center"/>
        <w:outlineLvl w:val="0"/>
        <w:rPr>
          <w:rFonts w:ascii="Times New Roman" w:hAnsi="Times New Roman" w:eastAsia="宋体" w:cs="Times New Roman"/>
          <w:sz w:val="24"/>
          <w:szCs w:val="24"/>
        </w:rPr>
      </w:pPr>
      <w:bookmarkStart w:id="137" w:name="_Toc4002"/>
      <w:bookmarkStart w:id="138" w:name="_Toc2853"/>
      <w:bookmarkStart w:id="139" w:name="_Toc11412"/>
      <w:bookmarkStart w:id="140" w:name="_Toc7495"/>
      <w:bookmarkStart w:id="141" w:name="_Toc15497"/>
      <w:bookmarkStart w:id="142" w:name="_Toc25138"/>
      <w:r>
        <w:rPr>
          <w:rFonts w:ascii="Times New Roman" w:hAnsi="Times New Roman" w:eastAsia="宋体" w:cs="Times New Roman"/>
          <w:sz w:val="24"/>
          <w:szCs w:val="24"/>
        </w:rPr>
        <w:t>条文说明</w:t>
      </w:r>
      <w:bookmarkEnd w:id="137"/>
      <w:bookmarkEnd w:id="138"/>
      <w:bookmarkEnd w:id="139"/>
      <w:bookmarkEnd w:id="140"/>
      <w:bookmarkEnd w:id="141"/>
      <w:bookmarkEnd w:id="142"/>
    </w:p>
    <w:p>
      <w:pPr>
        <w:spacing w:line="440" w:lineRule="exact"/>
        <w:jc w:val="center"/>
        <w:outlineLvl w:val="0"/>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pStyle w:val="20"/>
        <w:rPr>
          <w:rFonts w:asciiTheme="minorEastAsia" w:hAnsiTheme="minorEastAsia" w:eastAsiaTheme="minorEastAsia"/>
          <w:b/>
          <w:sz w:val="28"/>
          <w:szCs w:val="28"/>
        </w:rPr>
      </w:pPr>
      <w:bookmarkStart w:id="143" w:name="_Toc494"/>
      <w:bookmarkStart w:id="144" w:name="_Toc29863"/>
      <w:bookmarkStart w:id="145" w:name="_Toc12189"/>
      <w:bookmarkStart w:id="146" w:name="_Toc5446"/>
      <w:bookmarkStart w:id="147" w:name="_Toc12743"/>
      <w:bookmarkStart w:id="148" w:name="_Toc27491"/>
      <w:r>
        <w:rPr>
          <w:rFonts w:hint="eastAsia" w:asciiTheme="minorEastAsia" w:hAnsiTheme="minorEastAsia" w:eastAsiaTheme="minorEastAsia"/>
          <w:b/>
          <w:sz w:val="28"/>
          <w:szCs w:val="28"/>
        </w:rPr>
        <w:t>制定说明</w:t>
      </w:r>
      <w:bookmarkEnd w:id="143"/>
      <w:bookmarkEnd w:id="144"/>
      <w:bookmarkEnd w:id="145"/>
      <w:bookmarkEnd w:id="146"/>
      <w:bookmarkEnd w:id="147"/>
      <w:bookmarkEnd w:id="148"/>
    </w:p>
    <w:p>
      <w:pPr>
        <w:spacing w:line="400" w:lineRule="atLeast"/>
        <w:ind w:firstLine="480" w:firstLineChars="200"/>
        <w:rPr>
          <w:rFonts w:cs="Times New Roman" w:asciiTheme="minorEastAsia" w:hAnsiTheme="minorEastAsia"/>
          <w:bCs/>
          <w:sz w:val="24"/>
          <w:szCs w:val="24"/>
        </w:rPr>
      </w:pPr>
      <w:r>
        <w:rPr>
          <w:rFonts w:cs="Times New Roman" w:asciiTheme="minorEastAsia" w:hAnsiTheme="minorEastAsia"/>
          <w:sz w:val="24"/>
          <w:szCs w:val="24"/>
        </w:rPr>
        <w:t>《燃气运营企业安全管理标准第</w:t>
      </w:r>
      <w:r>
        <w:rPr>
          <w:rFonts w:ascii="Times New Roman" w:hAnsi="Times New Roman" w:cs="Times New Roman"/>
          <w:sz w:val="24"/>
          <w:szCs w:val="24"/>
        </w:rPr>
        <w:t>3</w:t>
      </w:r>
      <w:r>
        <w:rPr>
          <w:rFonts w:cs="Times New Roman" w:asciiTheme="minorEastAsia" w:hAnsiTheme="minorEastAsia"/>
          <w:sz w:val="24"/>
          <w:szCs w:val="24"/>
        </w:rPr>
        <w:t>部分：汽车加气运营企业》</w:t>
      </w:r>
      <w:r>
        <w:rPr>
          <w:rFonts w:ascii="Times New Roman" w:hAnsi="Times New Roman" w:cs="Times New Roman"/>
          <w:bCs/>
          <w:sz w:val="24"/>
          <w:szCs w:val="24"/>
        </w:rPr>
        <w:t>DB 53/T XXX-XXX</w:t>
      </w:r>
      <w:r>
        <w:rPr>
          <w:rFonts w:cs="Times New Roman" w:asciiTheme="minorEastAsia" w:hAnsiTheme="minorEastAsia"/>
          <w:bCs/>
          <w:sz w:val="24"/>
          <w:szCs w:val="24"/>
        </w:rPr>
        <w:t>经云南省住房和城乡建设厅</w:t>
      </w:r>
      <w:r>
        <w:rPr>
          <w:rFonts w:ascii="Times New Roman" w:hAnsi="Times New Roman" w:cs="Times New Roman"/>
          <w:bCs/>
          <w:sz w:val="24"/>
          <w:szCs w:val="24"/>
        </w:rPr>
        <w:t>xxx</w:t>
      </w:r>
      <w:r>
        <w:rPr>
          <w:rFonts w:cs="Times New Roman" w:asciiTheme="minorEastAsia" w:hAnsiTheme="minorEastAsia"/>
          <w:bCs/>
          <w:sz w:val="24"/>
          <w:szCs w:val="24"/>
        </w:rPr>
        <w:t>批准、发布。</w:t>
      </w:r>
    </w:p>
    <w:p>
      <w:pPr>
        <w:spacing w:line="400" w:lineRule="atLeast"/>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为便于液化石油气运营企业管理人员在使用本标准时能正确理解和执行条文规定，</w:t>
      </w:r>
      <w:r>
        <w:rPr>
          <w:rFonts w:cs="Times New Roman" w:asciiTheme="minorEastAsia" w:hAnsiTheme="minorEastAsia"/>
          <w:sz w:val="24"/>
          <w:szCs w:val="24"/>
        </w:rPr>
        <w:t>《燃气运营企业安全管理标准</w:t>
      </w:r>
      <w:r>
        <w:rPr>
          <w:rFonts w:ascii="Times New Roman" w:hAnsi="Times New Roman" w:cs="Times New Roman"/>
          <w:sz w:val="24"/>
          <w:szCs w:val="24"/>
        </w:rPr>
        <w:t>3</w:t>
      </w:r>
      <w:r>
        <w:rPr>
          <w:rFonts w:cs="Times New Roman" w:asciiTheme="minorEastAsia" w:hAnsiTheme="minorEastAsia"/>
          <w:sz w:val="24"/>
          <w:szCs w:val="24"/>
        </w:rPr>
        <w:t>部分：汽车加气运营企业》编制组按章、节、条顺序编制了本标准的条文说明，对条文规定的目的、依据以及执行中需要注意的有关事项进行了说明。但是，本条文说明不具备与标准正文同等的法律效力，仅供使用者作为理解和把握规程规定的参考。</w:t>
      </w:r>
    </w:p>
    <w:p>
      <w:pPr>
        <w:spacing w:line="400" w:lineRule="atLeast"/>
        <w:jc w:val="center"/>
        <w:rPr>
          <w:rFonts w:cs="Times New Roman" w:asciiTheme="minorEastAsia" w:hAnsiTheme="minorEastAsia"/>
          <w:sz w:val="24"/>
          <w:szCs w:val="24"/>
        </w:rPr>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sdt>
      <w:sdtPr>
        <w:rPr>
          <w:rFonts w:ascii="宋体" w:hAnsi="宋体" w:eastAsia="宋体"/>
          <w:sz w:val="32"/>
          <w:szCs w:val="32"/>
        </w:rPr>
        <w:id w:val="147477444"/>
        <w:docPartObj>
          <w:docPartGallery w:val="Table of Contents"/>
          <w:docPartUnique/>
        </w:docPartObj>
      </w:sdtPr>
      <w:sdtEndPr>
        <w:rPr>
          <w:rFonts w:cs="Times New Roman" w:asciiTheme="minorEastAsia" w:hAnsiTheme="minorEastAsia" w:eastAsiaTheme="minorEastAsia"/>
          <w:b/>
          <w:sz w:val="21"/>
          <w:szCs w:val="21"/>
        </w:rPr>
      </w:sdtEndPr>
      <w:sdtContent>
        <w:p>
          <w:pPr>
            <w:jc w:val="center"/>
            <w:rPr>
              <w:rFonts w:ascii="黑体" w:hAnsi="黑体" w:eastAsia="黑体"/>
              <w:b/>
              <w:sz w:val="44"/>
              <w:szCs w:val="44"/>
            </w:rPr>
          </w:pPr>
          <w:r>
            <w:rPr>
              <w:rFonts w:hint="eastAsia" w:ascii="黑体" w:hAnsi="黑体" w:eastAsia="黑体"/>
              <w:b/>
              <w:sz w:val="44"/>
              <w:szCs w:val="44"/>
            </w:rPr>
            <w:t>目  次</w:t>
          </w:r>
        </w:p>
        <w:p>
          <w:pPr>
            <w:pStyle w:val="26"/>
            <w:tabs>
              <w:tab w:val="right" w:leader="dot" w:pos="8312"/>
            </w:tabs>
            <w:spacing w:line="400" w:lineRule="atLeast"/>
            <w:rPr>
              <w:rFonts w:asciiTheme="minorEastAsia" w:hAnsiTheme="minorEastAsia" w:eastAsiaTheme="minorEastAsia"/>
              <w:bCs/>
              <w:sz w:val="21"/>
              <w:szCs w:val="21"/>
            </w:rPr>
          </w:pP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TOC \o "1-2" \h \u </w:instrText>
          </w:r>
          <w:r>
            <w:rPr>
              <w:rFonts w:asciiTheme="minorEastAsia" w:hAnsiTheme="minorEastAsia" w:eastAsiaTheme="minorEastAsia"/>
              <w:b/>
              <w:sz w:val="21"/>
              <w:szCs w:val="21"/>
            </w:rPr>
            <w:fldChar w:fldCharType="separate"/>
          </w:r>
          <w:r>
            <w:fldChar w:fldCharType="begin"/>
          </w:r>
          <w:r>
            <w:instrText xml:space="preserve"> HYPERLINK \l "_Toc1581" </w:instrText>
          </w:r>
          <w:r>
            <w:fldChar w:fldCharType="separate"/>
          </w:r>
          <w:r>
            <w:rPr>
              <w:rFonts w:hint="eastAsia" w:asciiTheme="minorEastAsia" w:hAnsiTheme="minorEastAsia" w:eastAsiaTheme="minorEastAsia"/>
              <w:bCs/>
              <w:sz w:val="21"/>
              <w:szCs w:val="21"/>
            </w:rPr>
            <w:t>前言</w:t>
          </w:r>
          <w:r>
            <w:rPr>
              <w:rFonts w:asciiTheme="minorEastAsia" w:hAnsiTheme="minorEastAsia" w:eastAsiaTheme="minorEastAsia"/>
              <w:bCs/>
              <w:sz w:val="21"/>
              <w:szCs w:val="21"/>
            </w:rPr>
            <w:tab/>
          </w:r>
          <w:r>
            <w:rPr>
              <w:rFonts w:asciiTheme="minorEastAsia" w:hAnsiTheme="minorEastAsia" w:eastAsiaTheme="minorEastAsia"/>
              <w:bCs/>
              <w:sz w:val="21"/>
              <w:szCs w:val="21"/>
            </w:rPr>
            <w:t>Ⅲ</w:t>
          </w:r>
          <w:r>
            <w:rPr>
              <w:rFonts w:asciiTheme="minorEastAsia" w:hAnsiTheme="minorEastAsia" w:eastAsiaTheme="minorEastAsia"/>
              <w:bCs/>
              <w:sz w:val="21"/>
              <w:szCs w:val="21"/>
            </w:rPr>
            <w:fldChar w:fldCharType="end"/>
          </w:r>
          <w:r>
            <w:rPr>
              <w:rFonts w:hint="eastAsia" w:asciiTheme="minorEastAsia" w:hAnsiTheme="minorEastAsia" w:eastAsiaTheme="minorEastAsia"/>
              <w:bCs/>
              <w:sz w:val="21"/>
              <w:szCs w:val="21"/>
            </w:rPr>
            <w:t>、Ⅳ</w:t>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"_Toc18435" </w:instrText>
          </w:r>
          <w:r>
            <w:fldChar w:fldCharType="separate"/>
          </w:r>
          <w:r>
            <w:rPr>
              <w:rFonts w:asciiTheme="minorEastAsia" w:hAnsiTheme="minorEastAsia" w:eastAsiaTheme="minorEastAsia"/>
              <w:bCs/>
              <w:sz w:val="21"/>
              <w:szCs w:val="21"/>
            </w:rPr>
            <w:t>1 总则</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1</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"_Toc29340" </w:instrText>
          </w:r>
          <w:r>
            <w:fldChar w:fldCharType="separate"/>
          </w:r>
          <w:r>
            <w:rPr>
              <w:rFonts w:hint="eastAsia" w:asciiTheme="minorEastAsia" w:hAnsiTheme="minorEastAsia" w:eastAsiaTheme="minorEastAsia"/>
              <w:bCs/>
              <w:sz w:val="21"/>
              <w:szCs w:val="21"/>
            </w:rPr>
            <w:t>2 术语</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2</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rPr>
              <w:rFonts w:asciiTheme="minorEastAsia" w:hAnsiTheme="minorEastAsia" w:eastAsiaTheme="minorEastAsia"/>
              <w:b/>
              <w:sz w:val="21"/>
              <w:szCs w:val="21"/>
            </w:rPr>
          </w:pPr>
          <w:r>
            <w:fldChar w:fldCharType="begin"/>
          </w:r>
          <w:r>
            <w:instrText xml:space="preserve"> HYPERLINK \l "_Toc359" </w:instrText>
          </w:r>
          <w:r>
            <w:fldChar w:fldCharType="separate"/>
          </w:r>
          <w:r>
            <w:rPr>
              <w:rFonts w:asciiTheme="minorEastAsia" w:hAnsiTheme="minorEastAsia" w:eastAsiaTheme="minorEastAsia"/>
              <w:bCs/>
              <w:sz w:val="21"/>
              <w:szCs w:val="21"/>
            </w:rPr>
            <w:t xml:space="preserve">3 </w:t>
          </w:r>
          <w:r>
            <w:rPr>
              <w:rFonts w:hint="eastAsia" w:cs="宋体" w:asciiTheme="minorEastAsia" w:hAnsiTheme="minorEastAsia" w:eastAsiaTheme="minorEastAsia"/>
              <w:bCs/>
              <w:sz w:val="21"/>
              <w:szCs w:val="21"/>
            </w:rPr>
            <w:t>汽车加气运营企业安全管理</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3</w:t>
          </w:r>
          <w:r>
            <w:rPr>
              <w:rFonts w:hint="eastAsia" w:asciiTheme="minorEastAsia" w:hAnsiTheme="minorEastAsia" w:eastAsiaTheme="minorEastAsia"/>
              <w:bCs/>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"_Toc30904" </w:instrText>
          </w:r>
          <w:r>
            <w:fldChar w:fldCharType="separate"/>
          </w:r>
          <w:r>
            <w:rPr>
              <w:rFonts w:asciiTheme="minorEastAsia" w:hAnsiTheme="minorEastAsia" w:eastAsiaTheme="minorEastAsia"/>
              <w:sz w:val="21"/>
              <w:szCs w:val="21"/>
            </w:rPr>
            <w:t>3.1 安全生产目标方针管理</w:t>
          </w:r>
          <w:r>
            <w:rPr>
              <w:rFonts w:asciiTheme="minorEastAsia" w:hAnsiTheme="minorEastAsia" w:eastAsiaTheme="minorEastAsia"/>
              <w:sz w:val="21"/>
              <w:szCs w:val="21"/>
            </w:rPr>
            <w:tab/>
          </w: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"_Toc10712" </w:instrText>
          </w:r>
          <w:r>
            <w:fldChar w:fldCharType="separate"/>
          </w:r>
          <w:r>
            <w:rPr>
              <w:rFonts w:asciiTheme="minorEastAsia" w:hAnsiTheme="minorEastAsia" w:eastAsiaTheme="minorEastAsia"/>
              <w:sz w:val="21"/>
              <w:szCs w:val="21"/>
            </w:rPr>
            <w:t>3.2 安全生产管理机构</w:t>
          </w:r>
          <w:r>
            <w:rPr>
              <w:rFonts w:asciiTheme="minorEastAsia" w:hAnsiTheme="minorEastAsia" w:eastAsiaTheme="minorEastAsia"/>
              <w:sz w:val="21"/>
              <w:szCs w:val="21"/>
            </w:rPr>
            <w:tab/>
          </w: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"_Toc3178" </w:instrText>
          </w:r>
          <w:r>
            <w:fldChar w:fldCharType="separate"/>
          </w:r>
          <w:r>
            <w:rPr>
              <w:rFonts w:hint="eastAsia" w:asciiTheme="minorEastAsia" w:hAnsiTheme="minorEastAsia" w:eastAsiaTheme="minorEastAsia"/>
              <w:sz w:val="21"/>
              <w:szCs w:val="21"/>
            </w:rPr>
            <w:t>3.3 人员配备要求</w:t>
          </w:r>
          <w:r>
            <w:rPr>
              <w:rFonts w:asciiTheme="minorEastAsia" w:hAnsiTheme="minorEastAsia" w:eastAsiaTheme="minorEastAsia"/>
              <w:sz w:val="21"/>
              <w:szCs w:val="21"/>
            </w:rPr>
            <w:tab/>
          </w: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"_Toc4434" </w:instrText>
          </w:r>
          <w:r>
            <w:fldChar w:fldCharType="separate"/>
          </w:r>
          <w:r>
            <w:rPr>
              <w:rFonts w:hint="eastAsia" w:asciiTheme="minorEastAsia" w:hAnsiTheme="minorEastAsia" w:eastAsiaTheme="minorEastAsia"/>
              <w:sz w:val="21"/>
              <w:szCs w:val="21"/>
            </w:rPr>
            <w:t>3.4 安全生产职责</w:t>
          </w:r>
          <w:r>
            <w:rPr>
              <w:rFonts w:asciiTheme="minorEastAsia" w:hAnsiTheme="minorEastAsia" w:eastAsiaTheme="minorEastAsia"/>
              <w:sz w:val="21"/>
              <w:szCs w:val="21"/>
            </w:rPr>
            <w:tab/>
          </w: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"_Toc4466" </w:instrText>
          </w:r>
          <w:r>
            <w:fldChar w:fldCharType="separate"/>
          </w:r>
          <w:r>
            <w:rPr>
              <w:rFonts w:hint="eastAsia" w:asciiTheme="minorEastAsia" w:hAnsiTheme="minorEastAsia" w:eastAsiaTheme="minorEastAsia"/>
              <w:sz w:val="21"/>
              <w:szCs w:val="21"/>
            </w:rPr>
            <w:t>3.5 安全生产投入</w:t>
          </w:r>
          <w:r>
            <w:rPr>
              <w:rFonts w:asciiTheme="minorEastAsia" w:hAnsiTheme="minorEastAsia" w:eastAsiaTheme="minorEastAsia"/>
              <w:sz w:val="21"/>
              <w:szCs w:val="21"/>
            </w:rPr>
            <w:tab/>
          </w: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"_Toc26235" </w:instrText>
          </w:r>
          <w:r>
            <w:fldChar w:fldCharType="separate"/>
          </w:r>
          <w:r>
            <w:rPr>
              <w:rFonts w:hint="eastAsia" w:asciiTheme="minorEastAsia" w:hAnsiTheme="minorEastAsia" w:eastAsiaTheme="minorEastAsia"/>
              <w:sz w:val="21"/>
              <w:szCs w:val="21"/>
            </w:rPr>
            <w:t>3.6 安全文化、标准化建设</w:t>
          </w:r>
          <w:r>
            <w:rPr>
              <w:rFonts w:asciiTheme="minorEastAsia" w:hAnsiTheme="minorEastAsia" w:eastAsiaTheme="minorEastAsia"/>
              <w:sz w:val="21"/>
              <w:szCs w:val="21"/>
            </w:rPr>
            <w:tab/>
          </w: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"_Toc8533" </w:instrText>
          </w:r>
          <w:r>
            <w:fldChar w:fldCharType="separate"/>
          </w:r>
          <w:r>
            <w:rPr>
              <w:rFonts w:hint="eastAsia" w:asciiTheme="minorEastAsia" w:hAnsiTheme="minorEastAsia" w:eastAsiaTheme="minorEastAsia"/>
              <w:sz w:val="21"/>
              <w:szCs w:val="21"/>
            </w:rPr>
            <w:t>3.7 安全生产信息化建设</w:t>
          </w:r>
          <w:r>
            <w:rPr>
              <w:rFonts w:asciiTheme="minorEastAsia" w:hAnsiTheme="minorEastAsia" w:eastAsiaTheme="minorEastAsia"/>
              <w:sz w:val="21"/>
              <w:szCs w:val="21"/>
            </w:rPr>
            <w:tab/>
          </w: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"_Toc21592" </w:instrText>
          </w:r>
          <w:r>
            <w:fldChar w:fldCharType="separate"/>
          </w:r>
          <w:r>
            <w:rPr>
              <w:rFonts w:hint="eastAsia" w:asciiTheme="minorEastAsia" w:hAnsiTheme="minorEastAsia" w:eastAsiaTheme="minorEastAsia"/>
              <w:sz w:val="21"/>
              <w:szCs w:val="21"/>
            </w:rPr>
            <w:t>3.8 安全管理制度和安全操作规程</w:t>
          </w:r>
          <w:r>
            <w:rPr>
              <w:rFonts w:asciiTheme="minorEastAsia" w:hAnsiTheme="minorEastAsia" w:eastAsiaTheme="minorEastAsia"/>
              <w:sz w:val="21"/>
              <w:szCs w:val="21"/>
            </w:rPr>
            <w:tab/>
          </w: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"_Toc7249" </w:instrText>
          </w:r>
          <w:r>
            <w:fldChar w:fldCharType="separate"/>
          </w:r>
          <w:r>
            <w:rPr>
              <w:rFonts w:hint="eastAsia" w:asciiTheme="minorEastAsia" w:hAnsiTheme="minorEastAsia" w:eastAsiaTheme="minorEastAsia"/>
              <w:sz w:val="21"/>
              <w:szCs w:val="21"/>
            </w:rPr>
            <w:t>3.9 安全教育培训</w:t>
          </w:r>
          <w:r>
            <w:rPr>
              <w:rFonts w:asciiTheme="minorEastAsia" w:hAnsiTheme="minorEastAsia" w:eastAsiaTheme="minorEastAsia"/>
              <w:sz w:val="21"/>
              <w:szCs w:val="21"/>
            </w:rPr>
            <w:tab/>
          </w: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"_Toc15949" </w:instrText>
          </w:r>
          <w:r>
            <w:fldChar w:fldCharType="separate"/>
          </w:r>
          <w:r>
            <w:rPr>
              <w:rFonts w:hint="eastAsia" w:asciiTheme="minorEastAsia" w:hAnsiTheme="minorEastAsia" w:eastAsiaTheme="minorEastAsia"/>
              <w:sz w:val="21"/>
              <w:szCs w:val="21"/>
            </w:rPr>
            <w:t>3.10 抢险与事故管理</w:t>
          </w:r>
          <w:r>
            <w:rPr>
              <w:rFonts w:asciiTheme="minorEastAsia" w:hAnsiTheme="minorEastAsia" w:eastAsiaTheme="minorEastAsia"/>
              <w:sz w:val="21"/>
              <w:szCs w:val="21"/>
            </w:rPr>
            <w:tab/>
          </w:r>
          <w:r>
            <w:rPr>
              <w:rFonts w:hint="eastAsia" w:asciiTheme="minorEastAsia" w:hAnsiTheme="minorEastAsia" w:eastAsiaTheme="minorEastAsia"/>
              <w:sz w:val="21"/>
              <w:szCs w:val="21"/>
            </w:rPr>
            <w:t>5</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"_Toc21455" </w:instrText>
          </w:r>
          <w:r>
            <w:fldChar w:fldCharType="separate"/>
          </w:r>
          <w:r>
            <w:rPr>
              <w:rFonts w:hint="eastAsia" w:asciiTheme="minorEastAsia" w:hAnsiTheme="minorEastAsia" w:eastAsiaTheme="minorEastAsia"/>
              <w:sz w:val="21"/>
              <w:szCs w:val="21"/>
            </w:rPr>
            <w:t xml:space="preserve">3.11 </w:t>
          </w:r>
          <w:r>
            <w:rPr>
              <w:rFonts w:asciiTheme="minorEastAsia" w:hAnsiTheme="minorEastAsia" w:eastAsiaTheme="minorEastAsia"/>
              <w:sz w:val="21"/>
              <w:szCs w:val="21"/>
            </w:rPr>
            <w:t>安全检查</w:t>
          </w:r>
          <w:r>
            <w:rPr>
              <w:rFonts w:hint="eastAsia" w:asciiTheme="minorEastAsia" w:hAnsiTheme="minorEastAsia" w:eastAsiaTheme="minorEastAsia"/>
              <w:sz w:val="21"/>
              <w:szCs w:val="21"/>
            </w:rPr>
            <w:t>与</w:t>
          </w:r>
          <w:r>
            <w:rPr>
              <w:rFonts w:asciiTheme="minorEastAsia" w:hAnsiTheme="minorEastAsia" w:eastAsiaTheme="minorEastAsia"/>
              <w:sz w:val="21"/>
              <w:szCs w:val="21"/>
            </w:rPr>
            <w:t>隐患整改</w:t>
          </w:r>
          <w:r>
            <w:rPr>
              <w:rFonts w:asciiTheme="minorEastAsia" w:hAnsiTheme="minorEastAsia" w:eastAsiaTheme="minorEastAsia"/>
              <w:sz w:val="21"/>
              <w:szCs w:val="21"/>
            </w:rPr>
            <w:tab/>
          </w:r>
          <w:r>
            <w:rPr>
              <w:rFonts w:hint="eastAsia" w:asciiTheme="minorEastAsia" w:hAnsiTheme="minorEastAsia" w:eastAsiaTheme="minorEastAsia"/>
              <w:sz w:val="21"/>
              <w:szCs w:val="21"/>
            </w:rPr>
            <w:t>6</w:t>
          </w:r>
          <w:r>
            <w:rPr>
              <w:rFonts w:hint="eastAsia" w:asciiTheme="minorEastAsia" w:hAnsiTheme="minorEastAsia" w:eastAsiaTheme="minorEastAsia"/>
              <w:sz w:val="21"/>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"_Toc9559" </w:instrText>
          </w:r>
          <w:r>
            <w:fldChar w:fldCharType="separate"/>
          </w:r>
          <w:r>
            <w:rPr>
              <w:rFonts w:hint="eastAsia" w:asciiTheme="minorEastAsia" w:hAnsiTheme="minorEastAsia" w:eastAsiaTheme="minorEastAsia"/>
              <w:bCs/>
              <w:sz w:val="21"/>
              <w:szCs w:val="21"/>
            </w:rPr>
            <w:t>4 液化天然气、压缩天然气汽车加气站安全</w:t>
          </w:r>
          <w:r>
            <w:rPr>
              <w:rFonts w:asciiTheme="minorEastAsia" w:hAnsiTheme="minorEastAsia" w:eastAsiaTheme="minorEastAsia"/>
              <w:bCs/>
              <w:sz w:val="21"/>
              <w:szCs w:val="21"/>
            </w:rPr>
            <w:t>管理</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6</w:t>
          </w:r>
          <w:r>
            <w:rPr>
              <w:rFonts w:hint="eastAsia" w:asciiTheme="minorEastAsia" w:hAnsiTheme="minorEastAsia" w:eastAsiaTheme="minorEastAsia"/>
              <w:bCs/>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"_Toc11590" </w:instrText>
          </w:r>
          <w:r>
            <w:fldChar w:fldCharType="separate"/>
          </w:r>
          <w:r>
            <w:rPr>
              <w:rFonts w:hint="eastAsia" w:asciiTheme="minorEastAsia" w:hAnsiTheme="minorEastAsia" w:eastAsiaTheme="minorEastAsia"/>
              <w:sz w:val="21"/>
              <w:szCs w:val="21"/>
            </w:rPr>
            <w:t>4.1 安全生产基础管理</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_Toc11590 \h </w:instrText>
          </w:r>
          <w:r>
            <w:rPr>
              <w:rFonts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"_Toc18382" </w:instrText>
          </w:r>
          <w:r>
            <w:fldChar w:fldCharType="separate"/>
          </w:r>
          <w:r>
            <w:rPr>
              <w:rFonts w:hint="eastAsia" w:asciiTheme="minorEastAsia" w:hAnsiTheme="minorEastAsia" w:eastAsiaTheme="minorEastAsia"/>
              <w:bCs/>
              <w:sz w:val="21"/>
              <w:szCs w:val="21"/>
            </w:rPr>
            <w:t>4.2 现场安全管理</w:t>
          </w:r>
          <w:r>
            <w:rPr>
              <w:rFonts w:asciiTheme="minorEastAsia" w:hAnsiTheme="minorEastAsia" w:eastAsiaTheme="minorEastAsia"/>
              <w:sz w:val="21"/>
              <w:szCs w:val="21"/>
            </w:rPr>
            <w:tab/>
          </w:r>
          <w:r>
            <w:rPr>
              <w:rFonts w:hint="eastAsia" w:asciiTheme="minorEastAsia" w:hAnsiTheme="minorEastAsia" w:eastAsiaTheme="minorEastAsia"/>
              <w:sz w:val="21"/>
              <w:szCs w:val="21"/>
            </w:rPr>
            <w:t>7</w:t>
          </w:r>
          <w:r>
            <w:rPr>
              <w:rFonts w:hint="eastAsia" w:asciiTheme="minorEastAsia" w:hAnsiTheme="minorEastAsia" w:eastAsiaTheme="minorEastAsia"/>
              <w:sz w:val="21"/>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"_Toc8222" </w:instrText>
          </w:r>
          <w:r>
            <w:fldChar w:fldCharType="separate"/>
          </w:r>
          <w:r>
            <w:rPr>
              <w:rFonts w:hint="eastAsia" w:asciiTheme="minorEastAsia" w:hAnsiTheme="minorEastAsia" w:eastAsiaTheme="minorEastAsia"/>
              <w:bCs/>
              <w:sz w:val="21"/>
              <w:szCs w:val="21"/>
            </w:rPr>
            <w:t>附录A政府燃气管理部门开展安全监督检查内容</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9</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rPr>
              <w:rFonts w:asciiTheme="minorEastAsia" w:hAnsiTheme="minorEastAsia" w:eastAsiaTheme="minorEastAsia"/>
              <w:b/>
              <w:sz w:val="21"/>
              <w:szCs w:val="21"/>
            </w:rPr>
          </w:pPr>
          <w:r>
            <w:fldChar w:fldCharType="begin"/>
          </w:r>
          <w:r>
            <w:instrText xml:space="preserve"> HYPERLINK \l "_Toc8222" </w:instrText>
          </w:r>
          <w:r>
            <w:fldChar w:fldCharType="separate"/>
          </w:r>
          <w:r>
            <w:rPr>
              <w:rFonts w:hint="eastAsia" w:asciiTheme="minorEastAsia" w:hAnsiTheme="minorEastAsia" w:eastAsiaTheme="minorEastAsia"/>
              <w:bCs/>
              <w:sz w:val="21"/>
              <w:szCs w:val="21"/>
            </w:rPr>
            <w:t>附录B企业开展安全监督检查内容</w:t>
          </w:r>
          <w:r>
            <w:rPr>
              <w:rFonts w:asciiTheme="minorEastAsia" w:hAnsiTheme="minorEastAsia" w:eastAsiaTheme="minorEastAsia"/>
              <w:bCs/>
              <w:sz w:val="21"/>
              <w:szCs w:val="21"/>
            </w:rPr>
            <w:tab/>
          </w:r>
          <w:r>
            <w:rPr>
              <w:rFonts w:asciiTheme="minorEastAsia" w:hAnsiTheme="minorEastAsia" w:eastAsiaTheme="minorEastAsia"/>
              <w:bCs/>
              <w:sz w:val="21"/>
              <w:szCs w:val="21"/>
            </w:rPr>
            <w:fldChar w:fldCharType="begin"/>
          </w:r>
          <w:r>
            <w:rPr>
              <w:rFonts w:asciiTheme="minorEastAsia" w:hAnsiTheme="minorEastAsia" w:eastAsiaTheme="minorEastAsia"/>
              <w:bCs/>
              <w:sz w:val="21"/>
              <w:szCs w:val="21"/>
            </w:rPr>
            <w:instrText xml:space="preserve"> PAGEREF _Toc8222 \h </w:instrText>
          </w:r>
          <w:r>
            <w:rPr>
              <w:rFonts w:asciiTheme="minorEastAsia" w:hAnsiTheme="minorEastAsia" w:eastAsiaTheme="minorEastAsia"/>
              <w:bCs/>
              <w:sz w:val="21"/>
              <w:szCs w:val="21"/>
            </w:rPr>
            <w:fldChar w:fldCharType="separate"/>
          </w:r>
          <w:r>
            <w:rPr>
              <w:rFonts w:asciiTheme="minorEastAsia" w:hAnsiTheme="minorEastAsia" w:eastAsiaTheme="minorEastAsia"/>
              <w:bCs/>
              <w:sz w:val="21"/>
              <w:szCs w:val="21"/>
            </w:rPr>
            <w:t>1</w:t>
          </w:r>
          <w:r>
            <w:rPr>
              <w:rFonts w:asciiTheme="minorEastAsia" w:hAnsiTheme="minorEastAsia" w:eastAsiaTheme="minorEastAsia"/>
              <w:bCs/>
              <w:sz w:val="21"/>
              <w:szCs w:val="21"/>
            </w:rPr>
            <w:fldChar w:fldCharType="end"/>
          </w:r>
          <w:r>
            <w:rPr>
              <w:rFonts w:asciiTheme="minorEastAsia" w:hAnsiTheme="minorEastAsia" w:eastAsiaTheme="minorEastAsia"/>
              <w:bCs/>
              <w:sz w:val="21"/>
              <w:szCs w:val="21"/>
            </w:rPr>
            <w:fldChar w:fldCharType="end"/>
          </w:r>
          <w:r>
            <w:rPr>
              <w:rFonts w:hint="eastAsia" w:asciiTheme="minorEastAsia" w:hAnsiTheme="minorEastAsia" w:eastAsiaTheme="minorEastAsia"/>
              <w:b/>
              <w:sz w:val="21"/>
              <w:szCs w:val="21"/>
            </w:rPr>
            <w:t>3</w:t>
          </w:r>
        </w:p>
        <w:p>
          <w:pPr>
            <w:pStyle w:val="26"/>
            <w:tabs>
              <w:tab w:val="right" w:leader="dot" w:pos="8312"/>
            </w:tabs>
            <w:spacing w:line="400" w:lineRule="atLeast"/>
            <w:rPr>
              <w:rFonts w:asciiTheme="minorEastAsia" w:hAnsiTheme="minorEastAsia" w:eastAsiaTheme="minorEastAsia"/>
              <w:bCs/>
              <w:sz w:val="21"/>
              <w:szCs w:val="21"/>
            </w:rPr>
          </w:pPr>
          <w:r>
            <w:rPr>
              <w:rFonts w:asciiTheme="minorEastAsia" w:hAnsiTheme="minorEastAsia"/>
              <w:b/>
              <w:szCs w:val="21"/>
            </w:rPr>
            <w:fldChar w:fldCharType="end"/>
          </w:r>
          <w:r>
            <w:fldChar w:fldCharType="begin"/>
          </w:r>
          <w:r>
            <w:instrText xml:space="preserve"> HYPERLINK \l "_Toc9140" </w:instrText>
          </w:r>
          <w:r>
            <w:fldChar w:fldCharType="separate"/>
          </w:r>
          <w:r>
            <w:rPr>
              <w:rFonts w:hint="eastAsia" w:asciiTheme="minorEastAsia" w:hAnsiTheme="minorEastAsia" w:eastAsiaTheme="minorEastAsia"/>
              <w:bCs/>
              <w:sz w:val="21"/>
              <w:szCs w:val="21"/>
            </w:rPr>
            <w:t>本标准用词说明</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18</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"_Toc9140" </w:instrText>
          </w:r>
          <w:r>
            <w:fldChar w:fldCharType="separate"/>
          </w:r>
          <w:r>
            <w:rPr>
              <w:rFonts w:hint="eastAsia" w:asciiTheme="minorEastAsia" w:hAnsiTheme="minorEastAsia" w:eastAsiaTheme="minorEastAsia"/>
              <w:bCs/>
              <w:sz w:val="21"/>
              <w:szCs w:val="21"/>
            </w:rPr>
            <w:t>引用标准名录</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19</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"_Toc9140" </w:instrText>
          </w:r>
          <w:r>
            <w:fldChar w:fldCharType="separate"/>
          </w:r>
          <w:r>
            <w:rPr>
              <w:rFonts w:hint="eastAsia" w:asciiTheme="minorEastAsia" w:hAnsiTheme="minorEastAsia" w:eastAsiaTheme="minorEastAsia"/>
              <w:bCs/>
              <w:sz w:val="21"/>
              <w:szCs w:val="21"/>
            </w:rPr>
            <w:t>附：条文说明</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20</w:t>
          </w:r>
          <w:r>
            <w:rPr>
              <w:rFonts w:hint="eastAsia" w:asciiTheme="minorEastAsia" w:hAnsiTheme="minorEastAsia" w:eastAsiaTheme="minorEastAsia"/>
              <w:bCs/>
              <w:sz w:val="21"/>
              <w:szCs w:val="21"/>
            </w:rPr>
            <w:fldChar w:fldCharType="end"/>
          </w:r>
        </w:p>
        <w:p>
          <w:pPr>
            <w:spacing w:line="400" w:lineRule="atLeast"/>
            <w:rPr>
              <w:rFonts w:cs="Times New Roman" w:asciiTheme="minorEastAsia" w:hAnsiTheme="minorEastAsia"/>
              <w:b/>
              <w:szCs w:val="21"/>
            </w:rPr>
          </w:pPr>
        </w:p>
        <w:p>
          <w:pPr>
            <w:spacing w:line="480" w:lineRule="auto"/>
            <w:jc w:val="center"/>
            <w:rPr>
              <w:rFonts w:ascii="Times New Roman" w:hAnsi="Times New Roman" w:cs="Times New Roman"/>
              <w:b/>
              <w:sz w:val="28"/>
              <w:szCs w:val="28"/>
            </w:rPr>
          </w:pPr>
        </w:p>
        <w:p>
          <w:pPr>
            <w:jc w:val="center"/>
            <w:rPr>
              <w:rFonts w:cs="Times New Roman" w:asciiTheme="minorEastAsia" w:hAnsiTheme="minorEastAsia"/>
              <w:b/>
              <w:szCs w:val="21"/>
            </w:rPr>
          </w:pPr>
        </w:p>
      </w:sdtContent>
    </w:sdt>
    <w:p>
      <w:pPr>
        <w:spacing w:line="400" w:lineRule="atLeast"/>
        <w:ind w:firstLine="843" w:firstLineChars="400"/>
        <w:jc w:val="center"/>
        <w:rPr>
          <w:rFonts w:cs="Times New Roman" w:asciiTheme="minorEastAsia" w:hAnsiTheme="minorEastAsia"/>
          <w:b/>
          <w:szCs w:val="21"/>
        </w:rPr>
      </w:pPr>
    </w:p>
    <w:p>
      <w:pPr>
        <w:spacing w:line="400" w:lineRule="atLeast"/>
        <w:ind w:firstLine="843" w:firstLineChars="400"/>
        <w:jc w:val="center"/>
        <w:rPr>
          <w:rFonts w:cs="Times New Roman" w:asciiTheme="minorEastAsia" w:hAnsiTheme="minorEastAsia"/>
          <w:b/>
          <w:szCs w:val="21"/>
        </w:rPr>
      </w:pPr>
    </w:p>
    <w:p>
      <w:pPr>
        <w:spacing w:line="400" w:lineRule="exact"/>
        <w:ind w:firstLine="843" w:firstLineChars="400"/>
        <w:jc w:val="center"/>
        <w:rPr>
          <w:rFonts w:ascii="Times New Roman" w:hAnsi="Times New Roman" w:cs="Times New Roman"/>
          <w:b/>
          <w:szCs w:val="28"/>
        </w:rPr>
      </w:pPr>
    </w:p>
    <w:p>
      <w:pPr>
        <w:spacing w:line="400" w:lineRule="exact"/>
        <w:ind w:firstLine="843" w:firstLineChars="400"/>
        <w:jc w:val="center"/>
        <w:rPr>
          <w:rFonts w:ascii="Times New Roman" w:hAnsi="Times New Roman" w:cs="Times New Roman"/>
          <w:b/>
          <w:szCs w:val="28"/>
        </w:rPr>
      </w:pPr>
    </w:p>
    <w:p>
      <w:pPr>
        <w:spacing w:line="400" w:lineRule="exact"/>
        <w:rPr>
          <w:rFonts w:ascii="Times New Roman" w:hAnsi="Times New Roman" w:cs="Times New Roman"/>
          <w:b/>
          <w:szCs w:val="28"/>
        </w:rPr>
      </w:pPr>
    </w:p>
    <w:p>
      <w:pPr>
        <w:spacing w:line="400" w:lineRule="exact"/>
        <w:rPr>
          <w:rFonts w:ascii="Times New Roman" w:hAnsi="Times New Roman" w:cs="Times New Roman"/>
          <w:b/>
          <w:szCs w:val="28"/>
        </w:rPr>
      </w:pPr>
    </w:p>
    <w:p>
      <w:pPr>
        <w:spacing w:line="480" w:lineRule="auto"/>
        <w:jc w:val="center"/>
        <w:outlineLvl w:val="0"/>
        <w:rPr>
          <w:rFonts w:cs="Times New Roman" w:asciiTheme="minorEastAsia" w:hAnsiTheme="minorEastAsia"/>
          <w:b/>
          <w:sz w:val="28"/>
          <w:szCs w:val="28"/>
        </w:rPr>
      </w:pPr>
      <w:r>
        <w:rPr>
          <w:rFonts w:cs="Times New Roman" w:asciiTheme="minorEastAsia" w:hAnsiTheme="minorEastAsia"/>
          <w:b/>
          <w:sz w:val="28"/>
          <w:szCs w:val="28"/>
        </w:rPr>
        <w:t>1  总则</w:t>
      </w:r>
    </w:p>
    <w:p>
      <w:pPr>
        <w:spacing w:line="400" w:lineRule="atLeast"/>
        <w:ind w:firstLine="480" w:firstLineChars="200"/>
        <w:rPr>
          <w:rFonts w:ascii="宋体" w:hAnsi="宋体" w:eastAsia="宋体"/>
          <w:sz w:val="24"/>
          <w:szCs w:val="24"/>
        </w:rPr>
      </w:pPr>
      <w:r>
        <w:rPr>
          <w:rFonts w:hint="eastAsia" w:ascii="宋体" w:hAnsi="宋体" w:eastAsia="宋体" w:cs="Times New Roman"/>
          <w:sz w:val="24"/>
          <w:szCs w:val="24"/>
        </w:rPr>
        <w:t>1.0.1汽车加气运营企业运营过程中的各个安全管理环节和因素，都会对运营情况、结果产生巨大影响。近年来，我国燃气事业发展虽然总体向好，但各种类型的燃气事故仍然时有发生。为了规范汽车加气</w:t>
      </w:r>
      <w:r>
        <w:rPr>
          <w:rFonts w:ascii="宋体" w:hAnsi="宋体" w:eastAsia="宋体" w:cs="Times New Roman"/>
          <w:sz w:val="24"/>
          <w:szCs w:val="24"/>
        </w:rPr>
        <w:t>运营企业的</w:t>
      </w:r>
      <w:r>
        <w:rPr>
          <w:rFonts w:hint="eastAsia" w:ascii="宋体" w:hAnsi="宋体" w:eastAsia="宋体"/>
          <w:sz w:val="24"/>
          <w:szCs w:val="24"/>
        </w:rPr>
        <w:t>工作原则、过程和管理要求，防止因企业在运营过程中安全管理因素造成的人身伤害和财产损失，制定本标准。</w:t>
      </w:r>
    </w:p>
    <w:p>
      <w:pPr>
        <w:spacing w:line="400" w:lineRule="atLeast"/>
        <w:ind w:firstLine="480" w:firstLineChars="200"/>
        <w:outlineLvl w:val="0"/>
        <w:rPr>
          <w:rFonts w:ascii="宋体" w:hAnsi="宋体" w:eastAsia="宋体"/>
          <w:sz w:val="24"/>
          <w:szCs w:val="24"/>
        </w:rPr>
      </w:pPr>
      <w:r>
        <w:rPr>
          <w:rFonts w:ascii="宋体" w:hAnsi="宋体" w:eastAsia="宋体" w:cs="Times New Roman"/>
          <w:sz w:val="24"/>
          <w:szCs w:val="24"/>
        </w:rPr>
        <w:t>1.0.2</w:t>
      </w:r>
      <w:r>
        <w:rPr>
          <w:rFonts w:hint="eastAsia" w:ascii="宋体" w:hAnsi="宋体" w:eastAsia="宋体" w:cs="Times New Roman"/>
          <w:sz w:val="24"/>
          <w:szCs w:val="24"/>
        </w:rPr>
        <w:t>本条规定了</w:t>
      </w:r>
      <w:r>
        <w:rPr>
          <w:rFonts w:hint="eastAsia" w:ascii="宋体" w:hAnsi="宋体" w:eastAsia="宋体"/>
          <w:sz w:val="24"/>
          <w:szCs w:val="24"/>
        </w:rPr>
        <w:t>本标准的适用范围：适用于云南省范围内的汽车加气运营企业。</w:t>
      </w:r>
    </w:p>
    <w:p>
      <w:pPr>
        <w:spacing w:line="400" w:lineRule="atLeast"/>
        <w:ind w:firstLine="480" w:firstLineChars="200"/>
        <w:rPr>
          <w:rFonts w:ascii="宋体" w:hAnsi="宋体" w:eastAsia="宋体"/>
          <w:sz w:val="24"/>
          <w:szCs w:val="24"/>
        </w:rPr>
      </w:pPr>
      <w:r>
        <w:rPr>
          <w:rFonts w:hint="eastAsia" w:ascii="宋体" w:hAnsi="宋体" w:eastAsia="宋体" w:cs="Times New Roman"/>
          <w:sz w:val="24"/>
          <w:szCs w:val="24"/>
        </w:rPr>
        <w:t>1.0.3本条强调的是汽车加气</w:t>
      </w:r>
      <w:r>
        <w:rPr>
          <w:rFonts w:ascii="宋体" w:hAnsi="宋体" w:eastAsia="宋体" w:cs="Times New Roman"/>
          <w:sz w:val="24"/>
          <w:szCs w:val="24"/>
        </w:rPr>
        <w:t>运营企业的</w:t>
      </w:r>
      <w:r>
        <w:rPr>
          <w:rFonts w:hint="eastAsia" w:ascii="宋体" w:hAnsi="宋体" w:eastAsia="宋体"/>
          <w:sz w:val="24"/>
          <w:szCs w:val="24"/>
        </w:rPr>
        <w:t>工作原则、过程和管理要求，除应符合本标准的规定外，尚应符合国家现行有关标准的规定。</w:t>
      </w:r>
    </w:p>
    <w:p>
      <w:pPr>
        <w:spacing w:line="400" w:lineRule="atLeast"/>
        <w:jc w:val="center"/>
        <w:outlineLvl w:val="0"/>
        <w:rPr>
          <w:rFonts w:ascii="宋体" w:hAnsi="宋体" w:eastAsia="宋体" w:cs="宋体"/>
          <w:b/>
          <w:sz w:val="24"/>
          <w:szCs w:val="24"/>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r>
        <w:rPr>
          <w:rFonts w:hint="eastAsia" w:ascii="宋体" w:hAnsi="宋体" w:eastAsia="宋体" w:cs="宋体"/>
          <w:b/>
          <w:sz w:val="28"/>
          <w:szCs w:val="28"/>
        </w:rPr>
        <w:t>3  汽车加气运营企业安全管理</w:t>
      </w:r>
    </w:p>
    <w:p>
      <w:pPr>
        <w:spacing w:line="400" w:lineRule="atLeast"/>
        <w:jc w:val="center"/>
        <w:outlineLvl w:val="1"/>
        <w:rPr>
          <w:rFonts w:cs="Times New Roman" w:asciiTheme="minorEastAsia" w:hAnsiTheme="minorEastAsia"/>
          <w:b/>
          <w:sz w:val="24"/>
          <w:szCs w:val="24"/>
        </w:rPr>
      </w:pPr>
      <w:r>
        <w:rPr>
          <w:rFonts w:cs="Times New Roman" w:asciiTheme="minorEastAsia" w:hAnsiTheme="minorEastAsia"/>
          <w:b/>
          <w:sz w:val="24"/>
          <w:szCs w:val="24"/>
        </w:rPr>
        <w:t>3.1 安全生产目标方针管理</w:t>
      </w:r>
    </w:p>
    <w:p>
      <w:pPr>
        <w:spacing w:line="400" w:lineRule="atLeast"/>
        <w:rPr>
          <w:rFonts w:cs="Times New Roman" w:asciiTheme="minorEastAsia" w:hAnsiTheme="minorEastAsia"/>
          <w:b/>
          <w:sz w:val="24"/>
          <w:szCs w:val="24"/>
        </w:rPr>
      </w:pPr>
      <w:r>
        <w:rPr>
          <w:rFonts w:hint="eastAsia" w:cs="Times New Roman" w:asciiTheme="minorEastAsia" w:hAnsiTheme="minorEastAsia"/>
          <w:sz w:val="24"/>
          <w:szCs w:val="24"/>
        </w:rPr>
        <w:t>3.1.1 本条规定</w:t>
      </w:r>
      <w:r>
        <w:rPr>
          <w:rFonts w:cs="Times New Roman" w:asciiTheme="minorEastAsia" w:hAnsiTheme="minorEastAsia"/>
          <w:sz w:val="24"/>
          <w:szCs w:val="24"/>
        </w:rPr>
        <w:t>企业应坚持国家</w:t>
      </w:r>
      <w:r>
        <w:rPr>
          <w:rFonts w:hint="eastAsia" w:cs="Times New Roman" w:asciiTheme="minorEastAsia" w:hAnsiTheme="minorEastAsia"/>
          <w:sz w:val="24"/>
          <w:szCs w:val="24"/>
        </w:rPr>
        <w:t>“</w:t>
      </w:r>
      <w:r>
        <w:rPr>
          <w:rFonts w:cs="Times New Roman" w:asciiTheme="minorEastAsia" w:hAnsiTheme="minorEastAsia"/>
          <w:sz w:val="24"/>
          <w:szCs w:val="24"/>
        </w:rPr>
        <w:t>安全第一，预防为主，综合治理</w:t>
      </w:r>
      <w:r>
        <w:rPr>
          <w:rFonts w:hint="eastAsia" w:cs="Times New Roman" w:asciiTheme="minorEastAsia" w:hAnsiTheme="minorEastAsia"/>
          <w:sz w:val="24"/>
          <w:szCs w:val="24"/>
        </w:rPr>
        <w:t>”</w:t>
      </w:r>
      <w:r>
        <w:rPr>
          <w:rFonts w:cs="Times New Roman" w:asciiTheme="minorEastAsia" w:hAnsiTheme="minorEastAsia"/>
          <w:sz w:val="24"/>
          <w:szCs w:val="24"/>
        </w:rPr>
        <w:t>的安全生产方针。主要负责人应依据国家法律法规，结合企业实际，组织制定制度化的企业安全生产方针、政策。</w:t>
      </w:r>
      <w:r>
        <w:rPr>
          <w:rFonts w:hint="eastAsia" w:cs="Times New Roman" w:asciiTheme="minorEastAsia" w:hAnsiTheme="minorEastAsia"/>
          <w:sz w:val="24"/>
          <w:szCs w:val="24"/>
        </w:rPr>
        <w:t>是根据国家安全生产法作出的规定。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w:t>
      </w:r>
      <w:r>
        <w:rPr>
          <w:rFonts w:cs="Times New Roman" w:asciiTheme="minorEastAsia" w:hAnsiTheme="minorEastAsia"/>
          <w:sz w:val="24"/>
          <w:szCs w:val="24"/>
        </w:rPr>
        <w:t>.</w:t>
      </w:r>
      <w:r>
        <w:rPr>
          <w:rFonts w:hint="eastAsia" w:cs="Times New Roman" w:asciiTheme="minorEastAsia" w:hAnsiTheme="minorEastAsia"/>
          <w:sz w:val="24"/>
          <w:szCs w:val="24"/>
        </w:rPr>
        <w:t>1.</w:t>
      </w:r>
      <w:r>
        <w:rPr>
          <w:rFonts w:cs="Times New Roman" w:asciiTheme="minorEastAsia" w:hAnsiTheme="minorEastAsia"/>
          <w:sz w:val="24"/>
          <w:szCs w:val="24"/>
        </w:rPr>
        <w:t>2</w:t>
      </w:r>
      <w:r>
        <w:rPr>
          <w:rFonts w:hint="eastAsia" w:cs="Times New Roman" w:asciiTheme="minorEastAsia" w:hAnsiTheme="minorEastAsia"/>
          <w:sz w:val="24"/>
          <w:szCs w:val="24"/>
        </w:rPr>
        <w:t>本条对企业的年度目标与计划作出了规定</w:t>
      </w:r>
      <w:r>
        <w:rPr>
          <w:rFonts w:cs="Times New Roman" w:asciiTheme="minorEastAsia" w:hAnsiTheme="minorEastAsia"/>
          <w:sz w:val="24"/>
          <w:szCs w:val="24"/>
        </w:rPr>
        <w:t>。</w:t>
      </w:r>
    </w:p>
    <w:p>
      <w:pPr>
        <w:spacing w:line="400" w:lineRule="atLeast"/>
        <w:jc w:val="center"/>
        <w:outlineLvl w:val="1"/>
        <w:rPr>
          <w:rFonts w:cs="Times New Roman" w:asciiTheme="minorEastAsia" w:hAnsiTheme="minorEastAsia"/>
          <w:b/>
          <w:sz w:val="24"/>
          <w:szCs w:val="24"/>
        </w:rPr>
      </w:pPr>
      <w:r>
        <w:rPr>
          <w:rFonts w:cs="Times New Roman" w:asciiTheme="minorEastAsia" w:hAnsiTheme="minorEastAsia"/>
          <w:b/>
          <w:sz w:val="24"/>
          <w:szCs w:val="24"/>
        </w:rPr>
        <w:t>3.2 安全生产管理机构</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w:t>
      </w:r>
      <w:r>
        <w:rPr>
          <w:rFonts w:cs="Times New Roman" w:asciiTheme="minorEastAsia" w:hAnsiTheme="minorEastAsia"/>
          <w:sz w:val="24"/>
          <w:szCs w:val="24"/>
        </w:rPr>
        <w:t>.</w:t>
      </w:r>
      <w:r>
        <w:rPr>
          <w:rFonts w:hint="eastAsia" w:cs="Times New Roman" w:asciiTheme="minorEastAsia" w:hAnsiTheme="minorEastAsia"/>
          <w:sz w:val="24"/>
          <w:szCs w:val="24"/>
        </w:rPr>
        <w:t>2.1本条对企业的经营活动作出了规定</w:t>
      </w:r>
      <w:r>
        <w:rPr>
          <w:rFonts w:cs="Times New Roman" w:asciiTheme="minorEastAsia" w:hAnsiTheme="minorEastAsia"/>
          <w:sz w:val="24"/>
          <w:szCs w:val="24"/>
        </w:rPr>
        <w:t>。</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3.2.2 本条对企业的安全管理机构设置及人员配备作出了规定。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3.2.3 本条对企业的安全生产管理网络作出了规定。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3.2.4本条对企业的安全生产例会制度、会议纪要进行了规定。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3.2.5 本条对企业的安全资料的保存进行了规定。</w:t>
      </w:r>
    </w:p>
    <w:p>
      <w:pPr>
        <w:spacing w:line="400" w:lineRule="atLeas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3.3 人员配备要求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3.3.1 本条对企业关键岗位人员的要求进行了规定。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3.3.2 本条对于企业的人员配备进行了规定。</w:t>
      </w:r>
    </w:p>
    <w:p>
      <w:pPr>
        <w:spacing w:line="400" w:lineRule="atLeas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3.4 安全生产职责</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3.4.1本条对企业安全职责、安全责任书的签订进行了规定。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3.4.2 本条对企业安全生产责任制作出了要求</w:t>
      </w:r>
      <w:r>
        <w:rPr>
          <w:rFonts w:cs="Times New Roman" w:asciiTheme="minorEastAsia" w:hAnsiTheme="minorEastAsia"/>
          <w:sz w:val="24"/>
          <w:szCs w:val="24"/>
        </w:rPr>
        <w:t>。</w:t>
      </w:r>
      <w:r>
        <w:rPr>
          <w:rFonts w:cs="Times New Roman" w:asciiTheme="minorEastAsia" w:hAnsiTheme="minorEastAsia"/>
          <w:sz w:val="24"/>
          <w:szCs w:val="24"/>
        </w:rPr>
        <w:cr/>
      </w:r>
      <w:r>
        <w:rPr>
          <w:rFonts w:hint="eastAsia" w:cs="Times New Roman" w:asciiTheme="minorEastAsia" w:hAnsiTheme="minorEastAsia"/>
          <w:sz w:val="24"/>
          <w:szCs w:val="24"/>
        </w:rPr>
        <w:t>3.4.3本条对企业安全生产责任制的考核进行了规定</w:t>
      </w:r>
      <w:r>
        <w:rPr>
          <w:rFonts w:cs="Times New Roman" w:asciiTheme="minorEastAsia" w:hAnsiTheme="minorEastAsia"/>
          <w:sz w:val="24"/>
          <w:szCs w:val="24"/>
        </w:rPr>
        <w:t>。</w:t>
      </w:r>
    </w:p>
    <w:p>
      <w:pPr>
        <w:spacing w:line="400" w:lineRule="atLeas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3.5 安全生产投入</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3.5.1本条对于企业安全生产费用进行了规定，明确安全生产费用，专项用于安全生产。</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3.5.2本条对于企业安全生产费用科目的建立、费用使用计划进行了规定，并要求进行监督管理。</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3.5.3本条对企业购买工伤保险进行了规定。</w:t>
      </w:r>
    </w:p>
    <w:p>
      <w:pPr>
        <w:spacing w:line="400" w:lineRule="atLeas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3.6 安全文化建设</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3.6.1本条对企业开展安全文化建设进行了规定，因</w:t>
      </w:r>
      <w:r>
        <w:rPr>
          <w:rFonts w:ascii="Times New Roman" w:hAnsi="Times New Roman" w:cs="Times New Roman"/>
          <w:sz w:val="24"/>
          <w:szCs w:val="24"/>
        </w:rPr>
        <w:t>AQ/T 9004</w:t>
      </w:r>
      <w:r>
        <w:rPr>
          <w:rFonts w:hint="eastAsia" w:cs="Times New Roman" w:asciiTheme="minorEastAsia" w:hAnsiTheme="minorEastAsia"/>
          <w:sz w:val="24"/>
          <w:szCs w:val="24"/>
        </w:rPr>
        <w:t>中均有详细规定和要求，故未一一列出。</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3.6.2 本条对企业开展安全标准化建设进行了规定，在</w:t>
      </w:r>
      <w:r>
        <w:rPr>
          <w:rFonts w:ascii="Times New Roman" w:hAnsi="Times New Roman" w:cs="Times New Roman"/>
          <w:sz w:val="24"/>
          <w:szCs w:val="24"/>
        </w:rPr>
        <w:t>GB/T 33000</w:t>
      </w:r>
      <w:r>
        <w:rPr>
          <w:rFonts w:hint="eastAsia" w:cs="Times New Roman" w:asciiTheme="minorEastAsia" w:hAnsiTheme="minorEastAsia"/>
          <w:sz w:val="24"/>
          <w:szCs w:val="24"/>
        </w:rPr>
        <w:t>中均有详细规定和要求。</w:t>
      </w:r>
    </w:p>
    <w:p>
      <w:pPr>
        <w:spacing w:line="400" w:lineRule="atLeas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3.7 安全生产信息化建设</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本条对企业安全生产信息化建设进行了规定：企业应根据自身情况，利用信息化手段加强安全生产管理工作。</w:t>
      </w:r>
    </w:p>
    <w:p>
      <w:pPr>
        <w:spacing w:line="400" w:lineRule="atLeas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3.8 安全管理制度和安全操作规程</w:t>
      </w:r>
    </w:p>
    <w:p>
      <w:pPr>
        <w:spacing w:line="400" w:lineRule="atLeast"/>
        <w:ind w:left="120" w:hanging="120" w:hangingChars="50"/>
        <w:rPr>
          <w:rFonts w:cs="Times New Roman" w:asciiTheme="minorEastAsia" w:hAnsiTheme="minorEastAsia"/>
          <w:sz w:val="24"/>
          <w:szCs w:val="24"/>
        </w:rPr>
      </w:pPr>
      <w:r>
        <w:rPr>
          <w:rFonts w:hint="eastAsia" w:cs="Times New Roman" w:asciiTheme="minorEastAsia" w:hAnsiTheme="minorEastAsia"/>
          <w:bCs/>
          <w:sz w:val="24"/>
          <w:szCs w:val="24"/>
        </w:rPr>
        <w:t>本章节内容是对企业的安全管理制度和安全操作规程进行了规定（国家相关法律法规中均有明确详细的规定）。包括</w:t>
      </w:r>
      <w:r>
        <w:rPr>
          <w:rFonts w:cs="Times New Roman" w:asciiTheme="minorEastAsia" w:hAnsiTheme="minorEastAsia"/>
          <w:sz w:val="24"/>
          <w:szCs w:val="24"/>
        </w:rPr>
        <w:t>建立健全安全生产规章制度</w:t>
      </w:r>
      <w:r>
        <w:rPr>
          <w:rFonts w:hint="eastAsia" w:cs="Times New Roman" w:asciiTheme="minorEastAsia" w:hAnsiTheme="minorEastAsia"/>
          <w:sz w:val="24"/>
          <w:szCs w:val="24"/>
        </w:rPr>
        <w:t>、</w:t>
      </w:r>
      <w:r>
        <w:rPr>
          <w:rFonts w:cs="Times New Roman" w:asciiTheme="minorEastAsia" w:hAnsiTheme="minorEastAsia"/>
          <w:sz w:val="24"/>
          <w:szCs w:val="24"/>
        </w:rPr>
        <w:t>编制作业操作规程</w:t>
      </w:r>
      <w:r>
        <w:rPr>
          <w:rFonts w:hint="eastAsia" w:cs="Times New Roman" w:asciiTheme="minorEastAsia" w:hAnsiTheme="minorEastAsia"/>
          <w:sz w:val="24"/>
          <w:szCs w:val="24"/>
        </w:rPr>
        <w:t>、以及对</w:t>
      </w:r>
      <w:r>
        <w:rPr>
          <w:rFonts w:cs="Times New Roman" w:asciiTheme="minorEastAsia" w:hAnsiTheme="minorEastAsia"/>
          <w:sz w:val="24"/>
          <w:szCs w:val="24"/>
        </w:rPr>
        <w:t>员工</w:t>
      </w:r>
      <w:r>
        <w:rPr>
          <w:rFonts w:hint="eastAsia" w:cs="Times New Roman" w:asciiTheme="minorEastAsia" w:hAnsiTheme="minorEastAsia"/>
          <w:sz w:val="24"/>
          <w:szCs w:val="24"/>
        </w:rPr>
        <w:t>的</w:t>
      </w:r>
      <w:r>
        <w:rPr>
          <w:rFonts w:cs="Times New Roman" w:asciiTheme="minorEastAsia" w:hAnsiTheme="minorEastAsia"/>
          <w:sz w:val="24"/>
          <w:szCs w:val="24"/>
        </w:rPr>
        <w:t>宣贯培训</w:t>
      </w:r>
      <w:r>
        <w:rPr>
          <w:rFonts w:hint="eastAsia" w:cs="Times New Roman" w:asciiTheme="minorEastAsia" w:hAnsiTheme="minorEastAsia"/>
          <w:sz w:val="24"/>
          <w:szCs w:val="24"/>
        </w:rPr>
        <w:t>、</w:t>
      </w:r>
      <w:r>
        <w:rPr>
          <w:rFonts w:cs="Times New Roman" w:asciiTheme="minorEastAsia" w:hAnsiTheme="minorEastAsia"/>
          <w:sz w:val="24"/>
          <w:szCs w:val="24"/>
        </w:rPr>
        <w:t>落实情况进行抽查考核。对安全生产管理规章制度和操作规</w:t>
      </w:r>
      <w:r>
        <w:rPr>
          <w:rFonts w:hint="eastAsia" w:cs="Times New Roman" w:asciiTheme="minorEastAsia" w:hAnsiTheme="minorEastAsia"/>
          <w:sz w:val="24"/>
          <w:szCs w:val="24"/>
        </w:rPr>
        <w:t>的</w:t>
      </w:r>
      <w:r>
        <w:rPr>
          <w:rFonts w:cs="Times New Roman" w:asciiTheme="minorEastAsia" w:hAnsiTheme="minorEastAsia"/>
          <w:sz w:val="24"/>
          <w:szCs w:val="24"/>
        </w:rPr>
        <w:t>修订</w:t>
      </w:r>
      <w:r>
        <w:rPr>
          <w:rFonts w:hint="eastAsia" w:cs="Times New Roman" w:asciiTheme="minorEastAsia" w:hAnsiTheme="minorEastAsia"/>
          <w:sz w:val="24"/>
          <w:szCs w:val="24"/>
        </w:rPr>
        <w:t>，对危险作业进行分级审批的要求。</w:t>
      </w:r>
    </w:p>
    <w:p>
      <w:pPr>
        <w:spacing w:line="400" w:lineRule="atLeast"/>
        <w:ind w:left="120" w:hanging="120" w:hangingChars="50"/>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3.9 安全教育培训</w:t>
      </w:r>
    </w:p>
    <w:p>
      <w:pPr>
        <w:spacing w:line="400" w:lineRule="atLeast"/>
        <w:ind w:left="120" w:hanging="120" w:hangingChars="50"/>
        <w:rPr>
          <w:rFonts w:cs="Times New Roman" w:asciiTheme="minorEastAsia" w:hAnsiTheme="minorEastAsia"/>
          <w:sz w:val="24"/>
          <w:szCs w:val="24"/>
        </w:rPr>
      </w:pPr>
      <w:r>
        <w:rPr>
          <w:rFonts w:hint="eastAsia" w:cs="Times New Roman" w:asciiTheme="minorEastAsia" w:hAnsiTheme="minorEastAsia"/>
          <w:bCs/>
          <w:sz w:val="24"/>
          <w:szCs w:val="24"/>
        </w:rPr>
        <w:t>3.9.1本条是对企业的教育培训管理作出了规定，包括</w:t>
      </w:r>
      <w:r>
        <w:rPr>
          <w:rFonts w:cs="Times New Roman" w:asciiTheme="minorEastAsia" w:hAnsiTheme="minorEastAsia"/>
          <w:sz w:val="24"/>
          <w:szCs w:val="24"/>
        </w:rPr>
        <w:t>执行安全教育培训制度</w:t>
      </w:r>
      <w:r>
        <w:rPr>
          <w:rFonts w:hint="eastAsia" w:cs="Times New Roman" w:asciiTheme="minorEastAsia" w:hAnsiTheme="minorEastAsia"/>
          <w:sz w:val="24"/>
          <w:szCs w:val="24"/>
        </w:rPr>
        <w:t>、</w:t>
      </w:r>
      <w:r>
        <w:rPr>
          <w:rFonts w:cs="Times New Roman" w:asciiTheme="minorEastAsia" w:hAnsiTheme="minorEastAsia"/>
          <w:sz w:val="24"/>
          <w:szCs w:val="24"/>
        </w:rPr>
        <w:t>制定并实施安全教育培训计划</w:t>
      </w:r>
      <w:r>
        <w:rPr>
          <w:rFonts w:hint="eastAsia" w:cs="Times New Roman" w:asciiTheme="minorEastAsia" w:hAnsiTheme="minorEastAsia"/>
          <w:sz w:val="24"/>
          <w:szCs w:val="24"/>
        </w:rPr>
        <w:t>、教育效果评价、用户安全宣传的内容。</w:t>
      </w:r>
    </w:p>
    <w:p>
      <w:pPr>
        <w:spacing w:line="400" w:lineRule="atLeast"/>
        <w:ind w:left="120" w:hanging="120" w:hangingChars="50"/>
        <w:rPr>
          <w:rFonts w:cs="Times New Roman" w:asciiTheme="minorEastAsia" w:hAnsiTheme="minorEastAsia"/>
          <w:sz w:val="24"/>
          <w:szCs w:val="24"/>
        </w:rPr>
      </w:pPr>
      <w:r>
        <w:rPr>
          <w:rFonts w:hint="eastAsia" w:cs="Times New Roman" w:asciiTheme="minorEastAsia" w:hAnsiTheme="minorEastAsia"/>
          <w:bCs/>
          <w:sz w:val="24"/>
          <w:szCs w:val="24"/>
        </w:rPr>
        <w:t>3.9.2 本条对企业安全生产管理人员教育培训进行了规定和说明，并特别指出：</w:t>
      </w:r>
      <w:r>
        <w:rPr>
          <w:rFonts w:hint="eastAsia" w:cs="Times New Roman" w:asciiTheme="minorEastAsia" w:hAnsiTheme="minorEastAsia"/>
          <w:sz w:val="24"/>
          <w:szCs w:val="24"/>
        </w:rPr>
        <w:t>法律法规要求必须对其安全生产知识和管理能力进行考核的，须经考核合格后方可任职。</w:t>
      </w:r>
    </w:p>
    <w:p>
      <w:pPr>
        <w:spacing w:line="400" w:lineRule="atLeast"/>
        <w:ind w:left="120" w:hanging="120" w:hangingChars="50"/>
        <w:rPr>
          <w:rFonts w:cs="Times New Roman" w:asciiTheme="minorEastAsia" w:hAnsiTheme="minorEastAsia"/>
          <w:sz w:val="24"/>
          <w:szCs w:val="24"/>
        </w:rPr>
      </w:pPr>
      <w:r>
        <w:rPr>
          <w:rFonts w:hint="eastAsia" w:cs="Times New Roman" w:asciiTheme="minorEastAsia" w:hAnsiTheme="minorEastAsia"/>
          <w:bCs/>
          <w:sz w:val="24"/>
          <w:szCs w:val="24"/>
        </w:rPr>
        <w:t>3.9.3 本条对操作岗位人员教育培训进行了规定：操作人员持证上岗情况、</w:t>
      </w:r>
      <w:r>
        <w:rPr>
          <w:rFonts w:cs="Times New Roman" w:asciiTheme="minorEastAsia" w:hAnsiTheme="minorEastAsia"/>
          <w:sz w:val="24"/>
          <w:szCs w:val="24"/>
        </w:rPr>
        <w:t>新入职人员安全教育培训</w:t>
      </w:r>
      <w:r>
        <w:rPr>
          <w:rFonts w:hint="eastAsia" w:cs="Times New Roman" w:asciiTheme="minorEastAsia" w:hAnsiTheme="minorEastAsia"/>
          <w:sz w:val="24"/>
          <w:szCs w:val="24"/>
        </w:rPr>
        <w:t>、</w:t>
      </w:r>
      <w:r>
        <w:rPr>
          <w:rFonts w:cs="Times New Roman" w:asciiTheme="minorEastAsia" w:hAnsiTheme="minorEastAsia"/>
          <w:sz w:val="24"/>
          <w:szCs w:val="24"/>
        </w:rPr>
        <w:t>人员转岗或离岗半年以上</w:t>
      </w:r>
      <w:r>
        <w:rPr>
          <w:rFonts w:hint="eastAsia" w:cs="Times New Roman" w:asciiTheme="minorEastAsia" w:hAnsiTheme="minorEastAsia"/>
          <w:sz w:val="24"/>
          <w:szCs w:val="24"/>
        </w:rPr>
        <w:t>的</w:t>
      </w:r>
      <w:r>
        <w:rPr>
          <w:rFonts w:cs="Times New Roman" w:asciiTheme="minorEastAsia" w:hAnsiTheme="minorEastAsia"/>
          <w:sz w:val="24"/>
          <w:szCs w:val="24"/>
        </w:rPr>
        <w:t>安全教育培训</w:t>
      </w:r>
      <w:r>
        <w:rPr>
          <w:rFonts w:hint="eastAsia" w:cs="Times New Roman" w:asciiTheme="minorEastAsia" w:hAnsiTheme="minorEastAsia"/>
          <w:sz w:val="24"/>
          <w:szCs w:val="24"/>
        </w:rPr>
        <w:t>及</w:t>
      </w:r>
      <w:r>
        <w:rPr>
          <w:rFonts w:cs="Times New Roman" w:asciiTheme="minorEastAsia" w:hAnsiTheme="minorEastAsia"/>
          <w:sz w:val="24"/>
          <w:szCs w:val="24"/>
        </w:rPr>
        <w:t>考核</w:t>
      </w:r>
      <w:r>
        <w:rPr>
          <w:rFonts w:hint="eastAsia" w:cs="Times New Roman" w:asciiTheme="minorEastAsia" w:hAnsiTheme="minorEastAsia"/>
          <w:sz w:val="24"/>
          <w:szCs w:val="24"/>
        </w:rPr>
        <w:t>、“四新”培训、特种人员培训等方面。</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3.9.4 本条对其他人员教育培训进行了规定：包括对相关方的作业人员以及外来参观、学习等人员教育和告知方面的内容。</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3.9.5 本条是对开展用户安全宣传方面的要求。</w:t>
      </w:r>
    </w:p>
    <w:p>
      <w:pPr>
        <w:spacing w:line="400" w:lineRule="atLeas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3.10 抢险与事故管理</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3.10.1本条是对企业抢险队的成立、人员的配置、持证上岗情况进行规定。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3.10.2 本条对抢险设施的配置和检查进行了规定。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3.10.3本条对企业的应急指挥系统的建立和管理进行了规定</w:t>
      </w:r>
      <w:r>
        <w:rPr>
          <w:rFonts w:cs="Times New Roman" w:asciiTheme="minorEastAsia" w:hAnsiTheme="minorEastAsia"/>
          <w:sz w:val="24"/>
          <w:szCs w:val="24"/>
        </w:rPr>
        <w:t>。</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3.10.4本条对应急方案的建立作出了要求。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3.10.5本条对现场处置方案建立的入手点进行了规定，要求企业</w:t>
      </w:r>
      <w:r>
        <w:rPr>
          <w:rFonts w:cs="Times New Roman" w:asciiTheme="minorEastAsia" w:hAnsiTheme="minorEastAsia"/>
          <w:sz w:val="24"/>
          <w:szCs w:val="24"/>
        </w:rPr>
        <w:t>建立完整的现场处置方案；</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3.10.6本条是对应急预案的备案进行要求。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3.10.7本条是对应急预案的修订的要求。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3.10.8本条是对应急预案的演练和培训的要求。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3.10.9本条是对事故管理台账及报告程序的规定。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3.10.10本条是对启动应急救援预案的要求。若事故发生，</w:t>
      </w:r>
      <w:r>
        <w:rPr>
          <w:rFonts w:cs="Times New Roman" w:asciiTheme="minorEastAsia" w:hAnsiTheme="minorEastAsia"/>
          <w:sz w:val="24"/>
          <w:szCs w:val="24"/>
        </w:rPr>
        <w:t>企业积极组织抢险与救援，妥善处理，控制事态，减少人员伤亡和财产损失。</w:t>
      </w:r>
      <w:r>
        <w:rPr>
          <w:rFonts w:cs="Times New Roman" w:asciiTheme="minorEastAsia" w:hAnsiTheme="minorEastAsia"/>
          <w:sz w:val="24"/>
          <w:szCs w:val="24"/>
        </w:rPr>
        <w:cr/>
      </w:r>
      <w:r>
        <w:rPr>
          <w:rFonts w:hint="eastAsia" w:cs="Times New Roman" w:asciiTheme="minorEastAsia" w:hAnsiTheme="minorEastAsia"/>
          <w:sz w:val="24"/>
          <w:szCs w:val="24"/>
        </w:rPr>
        <w:t>3.10.11本条明确了企业在发生安全生产事故后的职责。</w:t>
      </w:r>
    </w:p>
    <w:p>
      <w:pPr>
        <w:spacing w:line="400" w:lineRule="atLeas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3.11</w:t>
      </w:r>
      <w:r>
        <w:rPr>
          <w:rFonts w:cs="Times New Roman" w:asciiTheme="minorEastAsia" w:hAnsiTheme="minorEastAsia"/>
          <w:b/>
          <w:sz w:val="24"/>
          <w:szCs w:val="24"/>
        </w:rPr>
        <w:t>安全检查</w:t>
      </w:r>
      <w:r>
        <w:rPr>
          <w:rFonts w:hint="eastAsia" w:cs="Times New Roman" w:asciiTheme="minorEastAsia" w:hAnsiTheme="minorEastAsia"/>
          <w:b/>
          <w:sz w:val="24"/>
          <w:szCs w:val="24"/>
        </w:rPr>
        <w:t>与</w:t>
      </w:r>
      <w:r>
        <w:rPr>
          <w:rFonts w:cs="Times New Roman" w:asciiTheme="minorEastAsia" w:hAnsiTheme="minorEastAsia"/>
          <w:b/>
          <w:sz w:val="24"/>
          <w:szCs w:val="24"/>
        </w:rPr>
        <w:t>隐患整改</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3.11</w:t>
      </w:r>
      <w:r>
        <w:rPr>
          <w:rFonts w:cs="Times New Roman" w:asciiTheme="minorEastAsia" w:hAnsiTheme="minorEastAsia"/>
          <w:sz w:val="24"/>
          <w:szCs w:val="24"/>
        </w:rPr>
        <w:t>.1</w:t>
      </w:r>
      <w:r>
        <w:rPr>
          <w:rFonts w:hint="eastAsia" w:cs="Times New Roman" w:asciiTheme="minorEastAsia" w:hAnsiTheme="minorEastAsia"/>
          <w:sz w:val="24"/>
          <w:szCs w:val="24"/>
        </w:rPr>
        <w:t>本条对企业的安全检查管理制度作出了规定。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3.11</w:t>
      </w:r>
      <w:r>
        <w:rPr>
          <w:rFonts w:cs="Times New Roman" w:asciiTheme="minorEastAsia" w:hAnsiTheme="minorEastAsia"/>
          <w:sz w:val="24"/>
          <w:szCs w:val="24"/>
        </w:rPr>
        <w:t>.2</w:t>
      </w:r>
      <w:r>
        <w:rPr>
          <w:rFonts w:hint="eastAsia" w:cs="Times New Roman" w:asciiTheme="minorEastAsia" w:hAnsiTheme="minorEastAsia"/>
          <w:sz w:val="24"/>
          <w:szCs w:val="24"/>
        </w:rPr>
        <w:t>本条对企业的安全检查计划、记录台账作出了规定。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3.11.3本条对企业在隐患管理方面的内容进行了规定。要求</w:t>
      </w:r>
      <w:r>
        <w:rPr>
          <w:rFonts w:cs="Times New Roman" w:asciiTheme="minorEastAsia" w:hAnsiTheme="minorEastAsia"/>
          <w:sz w:val="24"/>
          <w:szCs w:val="24"/>
        </w:rPr>
        <w:t>企业制定隐患治理方案，对隐患及时进行治理。</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3.11.4本条从政府燃气管理部门以及企业自身两个角度对检查内容进行了规定，相关明确要求均在表格中进行了逐一列举。企业安全监督检查表包括政府燃气管理部门对企业开展安全监督检查内容（见附录</w:t>
      </w:r>
      <w:r>
        <w:rPr>
          <w:rFonts w:ascii="Times New Roman" w:hAnsi="Times New Roman" w:cs="Times New Roman"/>
          <w:sz w:val="24"/>
          <w:szCs w:val="24"/>
        </w:rPr>
        <w:t>A</w:t>
      </w:r>
      <w:r>
        <w:rPr>
          <w:rFonts w:hint="eastAsia" w:cs="Times New Roman" w:asciiTheme="minorEastAsia" w:hAnsiTheme="minorEastAsia"/>
          <w:sz w:val="24"/>
          <w:szCs w:val="24"/>
        </w:rPr>
        <w:t>）、企业开展安全自查以及对站点开展安全检查内容（见附录</w:t>
      </w:r>
      <w:r>
        <w:rPr>
          <w:rFonts w:ascii="Times New Roman" w:hAnsi="Times New Roman" w:cs="Times New Roman"/>
          <w:sz w:val="24"/>
          <w:szCs w:val="24"/>
        </w:rPr>
        <w:t>B</w:t>
      </w:r>
      <w:r>
        <w:rPr>
          <w:rFonts w:hint="eastAsia" w:cs="Times New Roman" w:asciiTheme="minorEastAsia" w:hAnsiTheme="minorEastAsia"/>
          <w:sz w:val="24"/>
          <w:szCs w:val="24"/>
        </w:rPr>
        <w:t>）。</w:t>
      </w:r>
    </w:p>
    <w:p>
      <w:pPr>
        <w:spacing w:line="400" w:lineRule="atLeast"/>
        <w:jc w:val="center"/>
        <w:outlineLvl w:val="0"/>
        <w:rPr>
          <w:rFonts w:cs="Times New Roman" w:asciiTheme="minorEastAsia" w:hAnsiTheme="minorEastAsia"/>
          <w:b/>
          <w:sz w:val="24"/>
          <w:szCs w:val="24"/>
        </w:rPr>
      </w:pPr>
      <w:r>
        <w:rPr>
          <w:rFonts w:hint="eastAsia" w:cs="Times New Roman" w:asciiTheme="minorEastAsia" w:hAnsiTheme="minorEastAsia"/>
          <w:b/>
          <w:sz w:val="24"/>
          <w:szCs w:val="24"/>
        </w:rPr>
        <w:t>4 液化天然气、压缩天然气汽车加气站安全</w:t>
      </w:r>
      <w:r>
        <w:rPr>
          <w:rFonts w:cs="Times New Roman" w:asciiTheme="minorEastAsia" w:hAnsiTheme="minorEastAsia"/>
          <w:b/>
          <w:sz w:val="24"/>
          <w:szCs w:val="24"/>
        </w:rPr>
        <w:t>管理</w:t>
      </w:r>
    </w:p>
    <w:p>
      <w:pPr>
        <w:spacing w:line="400" w:lineRule="atLeast"/>
        <w:outlineLvl w:val="1"/>
        <w:rPr>
          <w:rFonts w:cs="Times New Roman" w:asciiTheme="minorEastAsia" w:hAnsiTheme="minorEastAsia"/>
          <w:sz w:val="24"/>
          <w:szCs w:val="24"/>
        </w:rPr>
      </w:pPr>
      <w:r>
        <w:rPr>
          <w:rFonts w:hint="eastAsia" w:cs="Times New Roman" w:asciiTheme="minorEastAsia" w:hAnsiTheme="minorEastAsia"/>
          <w:sz w:val="24"/>
          <w:szCs w:val="24"/>
        </w:rPr>
        <w:t>4.1 本条对</w:t>
      </w:r>
      <w:r>
        <w:rPr>
          <w:rFonts w:hint="eastAsia" w:cs="Times New Roman" w:asciiTheme="minorEastAsia" w:hAnsiTheme="minorEastAsia"/>
          <w:bCs/>
          <w:sz w:val="24"/>
          <w:szCs w:val="24"/>
        </w:rPr>
        <w:t>液化天然气、压缩天然气汽车加气站</w:t>
      </w:r>
      <w:r>
        <w:rPr>
          <w:rFonts w:hint="eastAsia" w:cs="Times New Roman" w:asciiTheme="minorEastAsia" w:hAnsiTheme="minorEastAsia"/>
          <w:sz w:val="24"/>
          <w:szCs w:val="24"/>
        </w:rPr>
        <w:t>的安全生产基础管理进行了规定。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4.1.1 本条是对</w:t>
      </w:r>
      <w:r>
        <w:rPr>
          <w:rFonts w:hint="eastAsia" w:cs="Times New Roman" w:asciiTheme="minorEastAsia" w:hAnsiTheme="minorEastAsia"/>
          <w:bCs/>
          <w:sz w:val="24"/>
          <w:szCs w:val="24"/>
        </w:rPr>
        <w:t>液化天然气、压缩天然气汽车加气站</w:t>
      </w:r>
      <w:r>
        <w:rPr>
          <w:rFonts w:hint="eastAsia" w:cs="Times New Roman" w:asciiTheme="minorEastAsia" w:hAnsiTheme="minorEastAsia"/>
          <w:sz w:val="24"/>
          <w:szCs w:val="24"/>
        </w:rPr>
        <w:t>配备人员的规定。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4.1.2 本条是对于</w:t>
      </w:r>
      <w:r>
        <w:rPr>
          <w:rFonts w:hint="eastAsia" w:cs="Times New Roman" w:asciiTheme="minorEastAsia" w:hAnsiTheme="minorEastAsia"/>
          <w:bCs/>
          <w:sz w:val="24"/>
          <w:szCs w:val="24"/>
        </w:rPr>
        <w:t>液化天然气、压缩天然气汽车加气站</w:t>
      </w:r>
      <w:r>
        <w:rPr>
          <w:rFonts w:hint="eastAsia" w:cs="Times New Roman" w:asciiTheme="minorEastAsia" w:hAnsiTheme="minorEastAsia"/>
          <w:sz w:val="24"/>
          <w:szCs w:val="24"/>
        </w:rPr>
        <w:t>在执行安全教育培训制度、落实安全教育培训计划、并建立安全教育台账方面的规定。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4.1.3 本条是对</w:t>
      </w:r>
      <w:r>
        <w:rPr>
          <w:rFonts w:hint="eastAsia" w:cs="Times New Roman" w:asciiTheme="minorEastAsia" w:hAnsiTheme="minorEastAsia"/>
          <w:bCs/>
          <w:sz w:val="24"/>
          <w:szCs w:val="24"/>
        </w:rPr>
        <w:t>液化天然气、压缩天然气汽车加气站</w:t>
      </w:r>
      <w:r>
        <w:rPr>
          <w:rFonts w:hint="eastAsia" w:cs="Times New Roman" w:asciiTheme="minorEastAsia" w:hAnsiTheme="minorEastAsia"/>
          <w:sz w:val="24"/>
          <w:szCs w:val="24"/>
        </w:rPr>
        <w:t>在遵守安全管理制度和安全操作规程方面的内容。</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4.1.4 本条是对</w:t>
      </w:r>
      <w:r>
        <w:rPr>
          <w:rFonts w:hint="eastAsia" w:cs="Times New Roman" w:asciiTheme="minorEastAsia" w:hAnsiTheme="minorEastAsia"/>
          <w:bCs/>
          <w:sz w:val="24"/>
          <w:szCs w:val="24"/>
        </w:rPr>
        <w:t>液化天然气、压缩天然气汽车加气站</w:t>
      </w:r>
      <w:r>
        <w:rPr>
          <w:rFonts w:hint="eastAsia" w:cs="Times New Roman" w:asciiTheme="minorEastAsia" w:hAnsiTheme="minorEastAsia"/>
          <w:sz w:val="24"/>
          <w:szCs w:val="24"/>
        </w:rPr>
        <w:t>在对安全管理制度和安全操作规程的落实情况方面的规定。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4.1.5 本条是对</w:t>
      </w:r>
      <w:r>
        <w:rPr>
          <w:rFonts w:hint="eastAsia" w:cs="Times New Roman" w:asciiTheme="minorEastAsia" w:hAnsiTheme="minorEastAsia"/>
          <w:bCs/>
          <w:sz w:val="24"/>
          <w:szCs w:val="24"/>
        </w:rPr>
        <w:t>液化天然气、压缩天然气汽车加气站</w:t>
      </w:r>
      <w:r>
        <w:rPr>
          <w:rFonts w:hint="eastAsia" w:cs="Times New Roman" w:asciiTheme="minorEastAsia" w:hAnsiTheme="minorEastAsia"/>
          <w:sz w:val="24"/>
          <w:szCs w:val="24"/>
        </w:rPr>
        <w:t>开展应急管理工作的要求。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4.1.6 本条是</w:t>
      </w:r>
      <w:r>
        <w:rPr>
          <w:rFonts w:hint="eastAsia" w:cs="Times New Roman" w:asciiTheme="minorEastAsia" w:hAnsiTheme="minorEastAsia"/>
          <w:bCs/>
          <w:sz w:val="24"/>
          <w:szCs w:val="24"/>
        </w:rPr>
        <w:t>液化天然气、压缩天然气汽车加气站</w:t>
      </w:r>
      <w:r>
        <w:rPr>
          <w:rFonts w:hint="eastAsia" w:cs="Times New Roman" w:asciiTheme="minorEastAsia" w:hAnsiTheme="minorEastAsia"/>
          <w:sz w:val="24"/>
          <w:szCs w:val="24"/>
        </w:rPr>
        <w:t>在设备设施管理应从建立台账、落实设备设施维护管理制度、特种设备管理规定、以及设备设施检查、维护等方面开展的内容。</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4.1.7 本条是对燃气质量管理提出了规定。</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4.1.8本条是对于液化天然气、压缩天然气汽车加气站在安全检查与隐患整改方面的规定。</w:t>
      </w:r>
    </w:p>
    <w:p>
      <w:pPr>
        <w:spacing w:line="400" w:lineRule="atLeast"/>
        <w:rPr>
          <w:rFonts w:cs="Times New Roman" w:asciiTheme="minorEastAsia" w:hAnsiTheme="minorEastAsia"/>
          <w:sz w:val="24"/>
          <w:szCs w:val="24"/>
        </w:rPr>
      </w:pPr>
      <w:r>
        <w:rPr>
          <w:rFonts w:hint="eastAsia" w:cs="Times New Roman" w:asciiTheme="minorEastAsia" w:hAnsiTheme="minorEastAsia"/>
          <w:bCs/>
          <w:sz w:val="24"/>
          <w:szCs w:val="24"/>
        </w:rPr>
        <w:t>4.1.9本条规定了液化天然气、压缩天然气汽车加气站</w:t>
      </w:r>
      <w:r>
        <w:rPr>
          <w:rFonts w:hint="eastAsia" w:cs="Times New Roman" w:asciiTheme="minorEastAsia" w:hAnsiTheme="minorEastAsia"/>
          <w:sz w:val="24"/>
          <w:szCs w:val="24"/>
        </w:rPr>
        <w:t>应按照相关规定建立安全管理台账。</w:t>
      </w:r>
    </w:p>
    <w:p>
      <w:pPr>
        <w:spacing w:line="400" w:lineRule="atLeast"/>
        <w:outlineLvl w:val="1"/>
        <w:rPr>
          <w:rFonts w:cs="Times New Roman" w:asciiTheme="minorEastAsia" w:hAnsiTheme="minorEastAsia"/>
          <w:bCs/>
          <w:sz w:val="24"/>
          <w:szCs w:val="24"/>
        </w:rPr>
      </w:pPr>
      <w:r>
        <w:rPr>
          <w:rFonts w:hint="eastAsia" w:cs="Times New Roman" w:asciiTheme="minorEastAsia" w:hAnsiTheme="minorEastAsia"/>
          <w:bCs/>
          <w:sz w:val="24"/>
          <w:szCs w:val="24"/>
        </w:rPr>
        <w:t>4.2 本条对于液化天然气、压缩天然气汽车加气站现场安全管理应符合的规定进行了说明。</w:t>
      </w:r>
    </w:p>
    <w:p>
      <w:pPr>
        <w:spacing w:line="400" w:lineRule="atLeast"/>
        <w:outlineLvl w:val="1"/>
        <w:rPr>
          <w:rFonts w:cs="Times New Roman" w:asciiTheme="minorEastAsia" w:hAnsiTheme="minorEastAsia"/>
          <w:sz w:val="24"/>
          <w:szCs w:val="24"/>
        </w:rPr>
      </w:pPr>
      <w:r>
        <w:rPr>
          <w:rFonts w:hint="eastAsia" w:cs="Times New Roman" w:asciiTheme="minorEastAsia" w:hAnsiTheme="minorEastAsia"/>
          <w:sz w:val="24"/>
          <w:szCs w:val="24"/>
        </w:rPr>
        <w:t>4.2.1</w:t>
      </w:r>
      <w:r>
        <w:rPr>
          <w:rFonts w:hint="eastAsia" w:cs="Times New Roman" w:asciiTheme="minorEastAsia" w:hAnsiTheme="minorEastAsia"/>
          <w:bCs/>
          <w:sz w:val="24"/>
          <w:szCs w:val="24"/>
        </w:rPr>
        <w:t>本条是</w:t>
      </w:r>
      <w:r>
        <w:rPr>
          <w:rFonts w:hint="eastAsia" w:cs="Times New Roman" w:asciiTheme="minorEastAsia" w:hAnsiTheme="minorEastAsia"/>
          <w:sz w:val="24"/>
          <w:szCs w:val="24"/>
        </w:rPr>
        <w:t>防火间距及其他相关参数应满足规定和要求。</w:t>
      </w:r>
    </w:p>
    <w:p>
      <w:pPr>
        <w:spacing w:line="400" w:lineRule="atLeast"/>
        <w:outlineLvl w:val="1"/>
        <w:rPr>
          <w:rFonts w:cs="Times New Roman" w:asciiTheme="minorEastAsia" w:hAnsiTheme="minorEastAsia"/>
          <w:bCs/>
          <w:sz w:val="24"/>
          <w:szCs w:val="24"/>
        </w:rPr>
      </w:pPr>
      <w:r>
        <w:rPr>
          <w:rFonts w:hint="eastAsia" w:cs="Times New Roman" w:asciiTheme="minorEastAsia" w:hAnsiTheme="minorEastAsia"/>
          <w:bCs/>
          <w:sz w:val="24"/>
          <w:szCs w:val="24"/>
        </w:rPr>
        <w:t>4.2.2 本条是车辆加气应按规定开展的要求。</w:t>
      </w:r>
    </w:p>
    <w:p>
      <w:pPr>
        <w:spacing w:line="400" w:lineRule="atLeast"/>
        <w:outlineLvl w:val="1"/>
        <w:rPr>
          <w:rFonts w:cs="Times New Roman" w:asciiTheme="minorEastAsia" w:hAnsiTheme="minorEastAsia"/>
          <w:bCs/>
          <w:sz w:val="24"/>
          <w:szCs w:val="24"/>
        </w:rPr>
      </w:pPr>
      <w:r>
        <w:rPr>
          <w:rFonts w:hint="eastAsia" w:cs="Times New Roman" w:asciiTheme="minorEastAsia" w:hAnsiTheme="minorEastAsia"/>
          <w:bCs/>
          <w:sz w:val="24"/>
          <w:szCs w:val="24"/>
        </w:rPr>
        <w:t>4.2.3 本条是站区环境与值班管理应按规定开展的要求。</w:t>
      </w:r>
    </w:p>
    <w:p>
      <w:pPr>
        <w:spacing w:line="400" w:lineRule="atLeast"/>
        <w:outlineLvl w:val="1"/>
        <w:rPr>
          <w:rFonts w:cs="Times New Roman" w:asciiTheme="minorEastAsia" w:hAnsiTheme="minorEastAsia"/>
          <w:bCs/>
          <w:sz w:val="24"/>
          <w:szCs w:val="24"/>
        </w:rPr>
      </w:pPr>
      <w:r>
        <w:rPr>
          <w:rFonts w:hint="eastAsia" w:cs="Times New Roman" w:asciiTheme="minorEastAsia" w:hAnsiTheme="minorEastAsia"/>
          <w:bCs/>
          <w:sz w:val="24"/>
          <w:szCs w:val="24"/>
        </w:rPr>
        <w:t>4.2.4 本条是加气区的设置、设备设施配备、维护应按相关规定开展方面的内容。</w:t>
      </w:r>
    </w:p>
    <w:p>
      <w:pPr>
        <w:spacing w:line="400" w:lineRule="atLeast"/>
        <w:outlineLvl w:val="1"/>
        <w:rPr>
          <w:rFonts w:cs="Times New Roman" w:asciiTheme="minorEastAsia" w:hAnsiTheme="minorEastAsia"/>
          <w:bCs/>
          <w:sz w:val="24"/>
          <w:szCs w:val="24"/>
        </w:rPr>
      </w:pPr>
      <w:r>
        <w:rPr>
          <w:rFonts w:hint="eastAsia" w:cs="Times New Roman" w:asciiTheme="minorEastAsia" w:hAnsiTheme="minorEastAsia"/>
          <w:bCs/>
          <w:sz w:val="24"/>
          <w:szCs w:val="24"/>
        </w:rPr>
        <w:t>4.2.5 本条是储罐区及管道系统的设置、管理应符合相关法律法规的要求的说明。</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4.2.6 本条是安全操作、装卸台柱设施配置与维护、装卸台柱安全管理应符合相关规定的说明。</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4.2.7 本条对检维修及危险作业许可管理应符合的规定进行了说明，包括制度、计划的制定，检维修管理、检维修方案等内容。</w:t>
      </w:r>
    </w:p>
    <w:p>
      <w:pPr>
        <w:spacing w:line="400" w:lineRule="atLeast"/>
        <w:rPr>
          <w:rFonts w:cs="Times New Roman" w:asciiTheme="minorEastAsia" w:hAnsiTheme="minorEastAsia"/>
          <w:sz w:val="24"/>
          <w:szCs w:val="24"/>
        </w:rPr>
      </w:pPr>
      <w:r>
        <w:rPr>
          <w:rFonts w:hint="eastAsia" w:cs="Times New Roman" w:asciiTheme="minorEastAsia" w:hAnsiTheme="minorEastAsia"/>
          <w:bCs/>
          <w:sz w:val="24"/>
          <w:szCs w:val="24"/>
        </w:rPr>
        <w:t>4.2.8 本条对防雷防静电设施及其维护和安全管理应符合的规定进行了说明，包括防雷设计、接地设计、防雷装置的送检等内容。</w:t>
      </w:r>
    </w:p>
    <w:p>
      <w:pPr>
        <w:spacing w:line="400" w:lineRule="atLeast"/>
        <w:rPr>
          <w:rFonts w:cs="Times New Roman" w:asciiTheme="minorEastAsia" w:hAnsiTheme="minorEastAsia"/>
          <w:sz w:val="24"/>
          <w:szCs w:val="24"/>
        </w:rPr>
      </w:pPr>
      <w:r>
        <w:rPr>
          <w:rFonts w:hint="eastAsia" w:cs="Times New Roman" w:asciiTheme="minorEastAsia" w:hAnsiTheme="minorEastAsia"/>
          <w:bCs/>
          <w:sz w:val="24"/>
          <w:szCs w:val="24"/>
        </w:rPr>
        <w:t>4.2.9 本条对配电房应符合的规定进行了说明</w:t>
      </w:r>
      <w:r>
        <w:rPr>
          <w:rFonts w:hint="eastAsia" w:cs="Times New Roman" w:asciiTheme="minorEastAsia" w:hAnsiTheme="minorEastAsia"/>
          <w:sz w:val="24"/>
          <w:szCs w:val="24"/>
        </w:rPr>
        <w:t>。</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4.2.10本条对消防供水系统</w:t>
      </w:r>
      <w:r>
        <w:rPr>
          <w:rFonts w:hint="eastAsia" w:cs="Times New Roman" w:asciiTheme="minorEastAsia" w:hAnsiTheme="minorEastAsia"/>
          <w:sz w:val="24"/>
          <w:szCs w:val="24"/>
        </w:rPr>
        <w:t>应符合的规定和要求进行了说明。</w:t>
      </w:r>
    </w:p>
    <w:p>
      <w:pPr>
        <w:spacing w:line="400" w:lineRule="atLeast"/>
        <w:rPr>
          <w:rFonts w:cs="Times New Roman" w:asciiTheme="minorEastAsia" w:hAnsiTheme="minorEastAsia"/>
          <w:bCs/>
          <w:sz w:val="24"/>
          <w:szCs w:val="24"/>
        </w:rPr>
      </w:pPr>
    </w:p>
    <w:p>
      <w:pPr>
        <w:spacing w:line="400" w:lineRule="atLeast"/>
        <w:ind w:firstLine="960" w:firstLineChars="400"/>
        <w:jc w:val="center"/>
        <w:rPr>
          <w:rFonts w:cs="Times New Roman" w:asciiTheme="minorEastAsia" w:hAnsiTheme="minorEastAsia"/>
          <w:bCs/>
          <w:sz w:val="24"/>
          <w:szCs w:val="24"/>
        </w:rPr>
      </w:pPr>
    </w:p>
    <w:p>
      <w:pPr>
        <w:spacing w:line="400" w:lineRule="atLeast"/>
        <w:ind w:firstLine="960" w:firstLineChars="400"/>
        <w:jc w:val="center"/>
        <w:rPr>
          <w:rFonts w:cs="Times New Roman" w:asciiTheme="minorEastAsia" w:hAnsiTheme="minorEastAsia"/>
          <w:bCs/>
          <w:sz w:val="24"/>
          <w:szCs w:val="24"/>
        </w:rPr>
      </w:pPr>
    </w:p>
    <w:p>
      <w:pPr>
        <w:spacing w:line="400" w:lineRule="atLeast"/>
        <w:ind w:firstLine="960" w:firstLineChars="400"/>
        <w:jc w:val="center"/>
        <w:rPr>
          <w:rFonts w:cs="Times New Roman" w:asciiTheme="minorEastAsia" w:hAnsiTheme="minorEastAsia"/>
          <w:bCs/>
          <w:sz w:val="24"/>
          <w:szCs w:val="24"/>
        </w:rPr>
      </w:pPr>
    </w:p>
    <w:p>
      <w:pPr>
        <w:spacing w:line="400" w:lineRule="atLeast"/>
        <w:ind w:firstLine="960" w:firstLineChars="400"/>
        <w:jc w:val="center"/>
        <w:rPr>
          <w:rFonts w:cs="Times New Roman" w:asciiTheme="minorEastAsia" w:hAnsiTheme="minorEastAsia"/>
          <w:bCs/>
          <w:sz w:val="24"/>
          <w:szCs w:val="24"/>
        </w:rPr>
      </w:pPr>
    </w:p>
    <w:p>
      <w:pPr>
        <w:pStyle w:val="18"/>
        <w:spacing w:line="400" w:lineRule="atLeast"/>
        <w:ind w:firstLine="0" w:firstLineChars="0"/>
        <w:rPr>
          <w:rFonts w:asciiTheme="minorEastAsia" w:hAnsiTheme="minorEastAsia" w:eastAsiaTheme="minorEastAsia"/>
          <w:sz w:val="24"/>
          <w:szCs w:val="24"/>
        </w:rPr>
      </w:pPr>
    </w:p>
    <w:sectPr>
      <w:footerReference r:id="rId14" w:type="default"/>
      <w:pgSz w:w="11906" w:h="16838"/>
      <w:pgMar w:top="1440" w:right="1797" w:bottom="1383"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jc w:val="right"/>
    </w:pP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II</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II</w:t>
                    </w:r>
                    <w:r>
                      <w:fldChar w:fldCharType="end"/>
                    </w:r>
                  </w:p>
                </w:txbxContent>
              </v:textbox>
            </v:shape>
          </w:pict>
        </mc:Fallback>
      </mc:AlternateContent>
    </w:r>
  </w:p>
  <w:p>
    <w:pPr>
      <w:pStyle w:val="5"/>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I</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juml68BAABLAwAADgAAAGRycy9lMm9Eb2MueG1srVPNahsxEL4H8g5C&#10;91hrB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BrShy3OKL9zx/7X6/7l+9kltvTh1hj1lPAvDR89AOOefRHdGbVgwKbv6iH&#10;YBwbvTs1Vw6JiPxoPpvPKwwJjI0XxGfn5wFi+iS9JdloKOD0SlP59nNMh9QxJVdz/l4bUyZo3F8O&#10;xMwelrkfOGYrDavhKGjl2x3q6XHwDXW4mZSYB4d9zTsyGjAaq9HYBNDrDqlNC68YbjcJSRRuucIB&#10;9lgYJ1bUHbcrr8Sf95J1/ge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juml68BAABL&#10;AwAADgAAAAAAAAABACAAAAAeAQAAZHJzL2Uyb0RvYy54bWxQSwUGAAAAAAYABgBZAQAAP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I</w:t>
                    </w:r>
                    <w:r>
                      <w:fldChar w:fldCharType="end"/>
                    </w:r>
                  </w:p>
                </w:txbxContent>
              </v:textbox>
            </v:shape>
          </w:pict>
        </mc:Fallback>
      </mc:AlternateContent>
    </w:r>
  </w:p>
  <w:sdt>
    <w:sdtPr>
      <w:id w:val="489689"/>
    </w:sdtPr>
    <w:sdtContent>
      <w:p>
        <w:pPr>
          <w:pStyle w:val="5"/>
          <w:jc w:val="right"/>
        </w:pPr>
      </w:p>
      <w:p>
        <w:pPr>
          <w:pStyle w:val="5"/>
          <w:jc w:val="right"/>
        </w:pPr>
      </w:p>
    </w:sdtContent>
  </w:sdt>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jc w:val="right"/>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right"/>
                          </w:pPr>
                          <w:r>
                            <w:fldChar w:fldCharType="begin"/>
                          </w:r>
                          <w:r>
                            <w:instrText xml:space="preserve"> PAGE   \* MERGEFORMAT </w:instrText>
                          </w:r>
                          <w:r>
                            <w:fldChar w:fldCharType="separate"/>
                          </w:r>
                          <w:r>
                            <w:rPr>
                              <w:lang w:val="zh-CN"/>
                            </w:rPr>
                            <w:t>IV</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JVJSq8BAABLAwAADgAAAGRycy9lMm9Eb2MueG1srVNLbtswEN0X6B0I&#10;7mvKbhA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09o8RxiyPaPz3uf73snx/I59yePsQas+4C5qXhqx9wzKM/ojOrHhTY/EU9&#10;BOPY6N2puXJIRORH89l8XmFIYGy8ID57ex4gpm/SW5KNhgJOrzSVb69jOqSOKbma81famDJB4945&#10;EDN7WOZ+4JitNKyGo6CVb3eop8fBN9ThZlJivjvsa96R0YDRWI3GJoBed0htWnjF8GWTkEThlisc&#10;YI+FcWJF3XG78kr8fi9Zb//A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OJVJSq8BAABL&#10;AwAADgAAAAAAAAABACAAAAAeAQAAZHJzL2Uyb0RvYy54bWxQSwUGAAAAAAYABgBZAQAAPwUAAAAA&#10;">
              <v:fill on="f" focussize="0,0"/>
              <v:stroke on="f"/>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rPr>
                        <w:lang w:val="zh-CN"/>
                      </w:rPr>
                      <w:t>IV</w:t>
                    </w:r>
                    <w:r>
                      <w:rPr>
                        <w:lang w:val="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ezEK8BAABLAwAADgAAAGRycy9lMm9Eb2MueG1srVPNahsxEL4H+g5C&#10;91prQ4N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O/UOK4xRHtH/7sH5/3T7/JeW5PH2KNWbcB89LwzQ845tEf0ZlVDwps/qIe&#10;gnFs9O7UXDkkIvKj+Ww+rzAkMDZeEJ+9Pg8Q03fpLclGQwGnV5rKtzcxHVLHlFzN+SttTJmgce8c&#10;iJk9LHM/cMxWGlbDUdDKtzvU0+PgG+pwMykx1w77mndkNGA0VqOxCaDXHVKbFl4xfN0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OezEK8BAABL&#10;AwAADgAAAAAAAAABACAAAAAeAQAAZHJzL2Uyb0RvYy54bWxQSwUGAAAAAAYABgBZAQAAP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27</w:t>
                    </w:r>
                    <w:r>
                      <w:fldChar w:fldCharType="end"/>
                    </w:r>
                  </w:p>
                </w:txbxContent>
              </v:textbox>
            </v:shape>
          </w:pict>
        </mc:Fallback>
      </mc:AlternateContent>
    </w:r>
  </w:p>
  <w:p>
    <w:pPr>
      <w:pStyle w:val="5"/>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pPr>
  </w:p>
  <w:p>
    <w:pPr>
      <w:pStyle w:val="6"/>
    </w:pPr>
    <w:r>
      <w:rPr>
        <w:rFonts w:hint="eastAsia"/>
      </w:rPr>
      <w:t>DB53/T XXX</w:t>
    </w:r>
    <w:r>
      <w:rPr>
        <w:rFonts w:hint="eastAsia" w:ascii="宋体" w:hAnsi="宋体" w:eastAsia="宋体"/>
      </w:rPr>
      <w:t>—</w:t>
    </w:r>
    <w:r>
      <w:rPr>
        <w:rFonts w:hint="eastAsia"/>
      </w:rPr>
      <w:t>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6343"/>
    <w:multiLevelType w:val="multilevel"/>
    <w:tmpl w:val="09BE6343"/>
    <w:lvl w:ilvl="0" w:tentative="0">
      <w:start w:val="1"/>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23B26B4C"/>
    <w:multiLevelType w:val="singleLevel"/>
    <w:tmpl w:val="23B26B4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k1MzA3ZTY4NGJjZWM0OWQxNGM2NWRhMTJjZDIifQ=="/>
  </w:docVars>
  <w:rsids>
    <w:rsidRoot w:val="00684B69"/>
    <w:rsid w:val="0000094E"/>
    <w:rsid w:val="0000267D"/>
    <w:rsid w:val="00002FA3"/>
    <w:rsid w:val="00003475"/>
    <w:rsid w:val="000065F1"/>
    <w:rsid w:val="00007C5D"/>
    <w:rsid w:val="00010136"/>
    <w:rsid w:val="000116D4"/>
    <w:rsid w:val="00013389"/>
    <w:rsid w:val="00013B37"/>
    <w:rsid w:val="00014335"/>
    <w:rsid w:val="00016689"/>
    <w:rsid w:val="00016800"/>
    <w:rsid w:val="00022A51"/>
    <w:rsid w:val="00024A1F"/>
    <w:rsid w:val="000262E8"/>
    <w:rsid w:val="000263F3"/>
    <w:rsid w:val="00031A5E"/>
    <w:rsid w:val="00032BDB"/>
    <w:rsid w:val="00037D49"/>
    <w:rsid w:val="00041965"/>
    <w:rsid w:val="00042D98"/>
    <w:rsid w:val="00043CB0"/>
    <w:rsid w:val="00054271"/>
    <w:rsid w:val="00054C96"/>
    <w:rsid w:val="000577AE"/>
    <w:rsid w:val="000602F5"/>
    <w:rsid w:val="00063B4F"/>
    <w:rsid w:val="00067C9F"/>
    <w:rsid w:val="00067EA8"/>
    <w:rsid w:val="00073224"/>
    <w:rsid w:val="000752E3"/>
    <w:rsid w:val="00081343"/>
    <w:rsid w:val="0008171D"/>
    <w:rsid w:val="00081D7C"/>
    <w:rsid w:val="00082DD6"/>
    <w:rsid w:val="00085527"/>
    <w:rsid w:val="00085F7B"/>
    <w:rsid w:val="00086936"/>
    <w:rsid w:val="00087E87"/>
    <w:rsid w:val="0009533D"/>
    <w:rsid w:val="000965C4"/>
    <w:rsid w:val="000A019D"/>
    <w:rsid w:val="000A0672"/>
    <w:rsid w:val="000A7898"/>
    <w:rsid w:val="000B5658"/>
    <w:rsid w:val="000B5B81"/>
    <w:rsid w:val="000B67D2"/>
    <w:rsid w:val="000C1D14"/>
    <w:rsid w:val="000C33AD"/>
    <w:rsid w:val="000C406C"/>
    <w:rsid w:val="000C51D3"/>
    <w:rsid w:val="000C54A1"/>
    <w:rsid w:val="000D23CC"/>
    <w:rsid w:val="000D35E3"/>
    <w:rsid w:val="000D3FB4"/>
    <w:rsid w:val="000D551C"/>
    <w:rsid w:val="000D6150"/>
    <w:rsid w:val="000D6C7C"/>
    <w:rsid w:val="000D6D89"/>
    <w:rsid w:val="000D7373"/>
    <w:rsid w:val="000E40D3"/>
    <w:rsid w:val="000E70BB"/>
    <w:rsid w:val="000E77D5"/>
    <w:rsid w:val="000F08F8"/>
    <w:rsid w:val="000F2214"/>
    <w:rsid w:val="000F383B"/>
    <w:rsid w:val="000F395F"/>
    <w:rsid w:val="000F39D0"/>
    <w:rsid w:val="000F39DA"/>
    <w:rsid w:val="000F7C86"/>
    <w:rsid w:val="00100400"/>
    <w:rsid w:val="001022D1"/>
    <w:rsid w:val="001025F9"/>
    <w:rsid w:val="001034CE"/>
    <w:rsid w:val="0011060D"/>
    <w:rsid w:val="00110664"/>
    <w:rsid w:val="00110B9B"/>
    <w:rsid w:val="001114AA"/>
    <w:rsid w:val="001117ED"/>
    <w:rsid w:val="00112B97"/>
    <w:rsid w:val="001130F4"/>
    <w:rsid w:val="00113700"/>
    <w:rsid w:val="00114288"/>
    <w:rsid w:val="00114458"/>
    <w:rsid w:val="00115BE2"/>
    <w:rsid w:val="00116406"/>
    <w:rsid w:val="00116794"/>
    <w:rsid w:val="001211DE"/>
    <w:rsid w:val="0012305D"/>
    <w:rsid w:val="00124427"/>
    <w:rsid w:val="00124455"/>
    <w:rsid w:val="00126202"/>
    <w:rsid w:val="00126A98"/>
    <w:rsid w:val="00131A60"/>
    <w:rsid w:val="001320E9"/>
    <w:rsid w:val="00132E38"/>
    <w:rsid w:val="00133166"/>
    <w:rsid w:val="00133BCE"/>
    <w:rsid w:val="00133FBF"/>
    <w:rsid w:val="0013638D"/>
    <w:rsid w:val="00136787"/>
    <w:rsid w:val="00136E0F"/>
    <w:rsid w:val="001420C8"/>
    <w:rsid w:val="00143B6F"/>
    <w:rsid w:val="00145FE5"/>
    <w:rsid w:val="001477DF"/>
    <w:rsid w:val="00150008"/>
    <w:rsid w:val="001500DD"/>
    <w:rsid w:val="001511D1"/>
    <w:rsid w:val="00151B21"/>
    <w:rsid w:val="00152563"/>
    <w:rsid w:val="001525D1"/>
    <w:rsid w:val="001617E6"/>
    <w:rsid w:val="00161D67"/>
    <w:rsid w:val="00162B28"/>
    <w:rsid w:val="00165C52"/>
    <w:rsid w:val="00165D03"/>
    <w:rsid w:val="00167437"/>
    <w:rsid w:val="00170937"/>
    <w:rsid w:val="00172653"/>
    <w:rsid w:val="00175DFF"/>
    <w:rsid w:val="001772B6"/>
    <w:rsid w:val="00180C6F"/>
    <w:rsid w:val="00181125"/>
    <w:rsid w:val="0018113B"/>
    <w:rsid w:val="00181712"/>
    <w:rsid w:val="00182784"/>
    <w:rsid w:val="00183227"/>
    <w:rsid w:val="00183A68"/>
    <w:rsid w:val="00184483"/>
    <w:rsid w:val="00184C16"/>
    <w:rsid w:val="001858E3"/>
    <w:rsid w:val="00185D16"/>
    <w:rsid w:val="00186315"/>
    <w:rsid w:val="00186431"/>
    <w:rsid w:val="001864A7"/>
    <w:rsid w:val="00190269"/>
    <w:rsid w:val="00190379"/>
    <w:rsid w:val="00191235"/>
    <w:rsid w:val="0019155D"/>
    <w:rsid w:val="00193508"/>
    <w:rsid w:val="001937C1"/>
    <w:rsid w:val="00193810"/>
    <w:rsid w:val="0019437A"/>
    <w:rsid w:val="00195373"/>
    <w:rsid w:val="00197C53"/>
    <w:rsid w:val="001A04C9"/>
    <w:rsid w:val="001A08C9"/>
    <w:rsid w:val="001A16DF"/>
    <w:rsid w:val="001A26E6"/>
    <w:rsid w:val="001A2EB3"/>
    <w:rsid w:val="001A354D"/>
    <w:rsid w:val="001B0233"/>
    <w:rsid w:val="001B1272"/>
    <w:rsid w:val="001B3555"/>
    <w:rsid w:val="001B3AD2"/>
    <w:rsid w:val="001B4176"/>
    <w:rsid w:val="001B42BA"/>
    <w:rsid w:val="001B5540"/>
    <w:rsid w:val="001B5B39"/>
    <w:rsid w:val="001B68E9"/>
    <w:rsid w:val="001C05F8"/>
    <w:rsid w:val="001C14F8"/>
    <w:rsid w:val="001C17AE"/>
    <w:rsid w:val="001C275D"/>
    <w:rsid w:val="001C3F6A"/>
    <w:rsid w:val="001C401F"/>
    <w:rsid w:val="001C4BCA"/>
    <w:rsid w:val="001C6773"/>
    <w:rsid w:val="001C78BE"/>
    <w:rsid w:val="001C7AE0"/>
    <w:rsid w:val="001D1D0A"/>
    <w:rsid w:val="001D5126"/>
    <w:rsid w:val="001D6CD0"/>
    <w:rsid w:val="001E2032"/>
    <w:rsid w:val="001E25B9"/>
    <w:rsid w:val="001E45E4"/>
    <w:rsid w:val="001E48B2"/>
    <w:rsid w:val="001E4D3B"/>
    <w:rsid w:val="001E5AF4"/>
    <w:rsid w:val="001E5E00"/>
    <w:rsid w:val="001E6378"/>
    <w:rsid w:val="001E6D49"/>
    <w:rsid w:val="001E6E6D"/>
    <w:rsid w:val="001E77BD"/>
    <w:rsid w:val="001F05A8"/>
    <w:rsid w:val="001F06AD"/>
    <w:rsid w:val="001F4D02"/>
    <w:rsid w:val="001F4F3A"/>
    <w:rsid w:val="001F76E0"/>
    <w:rsid w:val="00201D13"/>
    <w:rsid w:val="00203771"/>
    <w:rsid w:val="00203B97"/>
    <w:rsid w:val="00203D0B"/>
    <w:rsid w:val="00206515"/>
    <w:rsid w:val="00206A5E"/>
    <w:rsid w:val="00206CDD"/>
    <w:rsid w:val="002070D3"/>
    <w:rsid w:val="002115D5"/>
    <w:rsid w:val="00212EAB"/>
    <w:rsid w:val="0021340F"/>
    <w:rsid w:val="00215332"/>
    <w:rsid w:val="00223015"/>
    <w:rsid w:val="002243EB"/>
    <w:rsid w:val="002269DA"/>
    <w:rsid w:val="0022710A"/>
    <w:rsid w:val="00232C81"/>
    <w:rsid w:val="00233438"/>
    <w:rsid w:val="00237633"/>
    <w:rsid w:val="00242C50"/>
    <w:rsid w:val="00243730"/>
    <w:rsid w:val="00243E1E"/>
    <w:rsid w:val="002478B5"/>
    <w:rsid w:val="00250C88"/>
    <w:rsid w:val="00252DCA"/>
    <w:rsid w:val="00253A4D"/>
    <w:rsid w:val="0025645E"/>
    <w:rsid w:val="00256977"/>
    <w:rsid w:val="0025711B"/>
    <w:rsid w:val="00257270"/>
    <w:rsid w:val="00261510"/>
    <w:rsid w:val="00261A39"/>
    <w:rsid w:val="00261E5A"/>
    <w:rsid w:val="00262CA3"/>
    <w:rsid w:val="00266402"/>
    <w:rsid w:val="00266AC6"/>
    <w:rsid w:val="00271719"/>
    <w:rsid w:val="002721C9"/>
    <w:rsid w:val="0027459E"/>
    <w:rsid w:val="002750EC"/>
    <w:rsid w:val="0028011B"/>
    <w:rsid w:val="00283214"/>
    <w:rsid w:val="00284278"/>
    <w:rsid w:val="00284DEF"/>
    <w:rsid w:val="00286EE6"/>
    <w:rsid w:val="0028768C"/>
    <w:rsid w:val="0029079C"/>
    <w:rsid w:val="00293FD3"/>
    <w:rsid w:val="002946F0"/>
    <w:rsid w:val="00297781"/>
    <w:rsid w:val="00297BDE"/>
    <w:rsid w:val="002A022D"/>
    <w:rsid w:val="002A0C43"/>
    <w:rsid w:val="002A29CE"/>
    <w:rsid w:val="002A3D19"/>
    <w:rsid w:val="002A5AF4"/>
    <w:rsid w:val="002A7069"/>
    <w:rsid w:val="002B044F"/>
    <w:rsid w:val="002B0A53"/>
    <w:rsid w:val="002B0BF5"/>
    <w:rsid w:val="002B6F2D"/>
    <w:rsid w:val="002C1A74"/>
    <w:rsid w:val="002C52C1"/>
    <w:rsid w:val="002C5E0F"/>
    <w:rsid w:val="002C6397"/>
    <w:rsid w:val="002D00E4"/>
    <w:rsid w:val="002D2DA2"/>
    <w:rsid w:val="002E4041"/>
    <w:rsid w:val="002F0FFA"/>
    <w:rsid w:val="002F14A1"/>
    <w:rsid w:val="002F257E"/>
    <w:rsid w:val="002F50C2"/>
    <w:rsid w:val="002F70D3"/>
    <w:rsid w:val="00302F08"/>
    <w:rsid w:val="00303D4C"/>
    <w:rsid w:val="0030544D"/>
    <w:rsid w:val="00306120"/>
    <w:rsid w:val="003074AA"/>
    <w:rsid w:val="00307EA7"/>
    <w:rsid w:val="00310129"/>
    <w:rsid w:val="00311E05"/>
    <w:rsid w:val="00312AFA"/>
    <w:rsid w:val="00316AA2"/>
    <w:rsid w:val="00316D30"/>
    <w:rsid w:val="003174AE"/>
    <w:rsid w:val="00324203"/>
    <w:rsid w:val="00324A65"/>
    <w:rsid w:val="00324B94"/>
    <w:rsid w:val="0032571D"/>
    <w:rsid w:val="0032597A"/>
    <w:rsid w:val="00327356"/>
    <w:rsid w:val="003309AC"/>
    <w:rsid w:val="00331378"/>
    <w:rsid w:val="00332353"/>
    <w:rsid w:val="00334588"/>
    <w:rsid w:val="003378D7"/>
    <w:rsid w:val="003410A5"/>
    <w:rsid w:val="00344579"/>
    <w:rsid w:val="003464AB"/>
    <w:rsid w:val="00347984"/>
    <w:rsid w:val="00350496"/>
    <w:rsid w:val="00350C08"/>
    <w:rsid w:val="003521E6"/>
    <w:rsid w:val="00354130"/>
    <w:rsid w:val="0035461C"/>
    <w:rsid w:val="0035481C"/>
    <w:rsid w:val="00354FB0"/>
    <w:rsid w:val="003603F3"/>
    <w:rsid w:val="0036438A"/>
    <w:rsid w:val="00364D42"/>
    <w:rsid w:val="003650C1"/>
    <w:rsid w:val="00365F9C"/>
    <w:rsid w:val="00367424"/>
    <w:rsid w:val="003674C8"/>
    <w:rsid w:val="003679A3"/>
    <w:rsid w:val="00370145"/>
    <w:rsid w:val="003703CB"/>
    <w:rsid w:val="0037231C"/>
    <w:rsid w:val="00372D65"/>
    <w:rsid w:val="00373DE6"/>
    <w:rsid w:val="00374112"/>
    <w:rsid w:val="0037415C"/>
    <w:rsid w:val="003741DA"/>
    <w:rsid w:val="00374755"/>
    <w:rsid w:val="00375F41"/>
    <w:rsid w:val="0038155A"/>
    <w:rsid w:val="00382FA8"/>
    <w:rsid w:val="00384E45"/>
    <w:rsid w:val="00385310"/>
    <w:rsid w:val="00385BBF"/>
    <w:rsid w:val="00386B7E"/>
    <w:rsid w:val="00392BAC"/>
    <w:rsid w:val="00393C02"/>
    <w:rsid w:val="003943AF"/>
    <w:rsid w:val="00395FA7"/>
    <w:rsid w:val="003969D7"/>
    <w:rsid w:val="00396A1D"/>
    <w:rsid w:val="003A140B"/>
    <w:rsid w:val="003A1556"/>
    <w:rsid w:val="003A16BF"/>
    <w:rsid w:val="003A2761"/>
    <w:rsid w:val="003A33D0"/>
    <w:rsid w:val="003A41A1"/>
    <w:rsid w:val="003A47B4"/>
    <w:rsid w:val="003A4DDB"/>
    <w:rsid w:val="003A693B"/>
    <w:rsid w:val="003A6B2A"/>
    <w:rsid w:val="003B2C9E"/>
    <w:rsid w:val="003B3230"/>
    <w:rsid w:val="003B3D3D"/>
    <w:rsid w:val="003B6A08"/>
    <w:rsid w:val="003C06F5"/>
    <w:rsid w:val="003C1C7F"/>
    <w:rsid w:val="003C20F6"/>
    <w:rsid w:val="003C2896"/>
    <w:rsid w:val="003C5769"/>
    <w:rsid w:val="003C7C35"/>
    <w:rsid w:val="003C7E42"/>
    <w:rsid w:val="003D0AB6"/>
    <w:rsid w:val="003D29B5"/>
    <w:rsid w:val="003D2ECE"/>
    <w:rsid w:val="003D39AF"/>
    <w:rsid w:val="003D495A"/>
    <w:rsid w:val="003D4A32"/>
    <w:rsid w:val="003D7DE0"/>
    <w:rsid w:val="003E0143"/>
    <w:rsid w:val="003E2C99"/>
    <w:rsid w:val="003E3148"/>
    <w:rsid w:val="003E4988"/>
    <w:rsid w:val="003E6105"/>
    <w:rsid w:val="003E728D"/>
    <w:rsid w:val="003E73B2"/>
    <w:rsid w:val="003E7C4A"/>
    <w:rsid w:val="003F259C"/>
    <w:rsid w:val="003F3894"/>
    <w:rsid w:val="003F3BEB"/>
    <w:rsid w:val="003F580C"/>
    <w:rsid w:val="0040024D"/>
    <w:rsid w:val="00400460"/>
    <w:rsid w:val="004006E8"/>
    <w:rsid w:val="00400725"/>
    <w:rsid w:val="00400ED7"/>
    <w:rsid w:val="004032F9"/>
    <w:rsid w:val="00403D11"/>
    <w:rsid w:val="00404295"/>
    <w:rsid w:val="00410750"/>
    <w:rsid w:val="004115C1"/>
    <w:rsid w:val="00412720"/>
    <w:rsid w:val="00414138"/>
    <w:rsid w:val="0041468B"/>
    <w:rsid w:val="00415E22"/>
    <w:rsid w:val="004162DB"/>
    <w:rsid w:val="004166B2"/>
    <w:rsid w:val="00417F57"/>
    <w:rsid w:val="00420FFD"/>
    <w:rsid w:val="004232C7"/>
    <w:rsid w:val="004243ED"/>
    <w:rsid w:val="00424B04"/>
    <w:rsid w:val="00424EC9"/>
    <w:rsid w:val="004267F9"/>
    <w:rsid w:val="00427C9E"/>
    <w:rsid w:val="00431DD4"/>
    <w:rsid w:val="0043403C"/>
    <w:rsid w:val="00434D94"/>
    <w:rsid w:val="004365EA"/>
    <w:rsid w:val="004372F6"/>
    <w:rsid w:val="00441675"/>
    <w:rsid w:val="004417E3"/>
    <w:rsid w:val="00442035"/>
    <w:rsid w:val="00443743"/>
    <w:rsid w:val="00443C49"/>
    <w:rsid w:val="0044475D"/>
    <w:rsid w:val="004459E4"/>
    <w:rsid w:val="00446520"/>
    <w:rsid w:val="00447358"/>
    <w:rsid w:val="00447F91"/>
    <w:rsid w:val="00450AFD"/>
    <w:rsid w:val="004541E5"/>
    <w:rsid w:val="00454EF5"/>
    <w:rsid w:val="00454FDF"/>
    <w:rsid w:val="0045511A"/>
    <w:rsid w:val="00462B37"/>
    <w:rsid w:val="004652B3"/>
    <w:rsid w:val="004658D2"/>
    <w:rsid w:val="004668D3"/>
    <w:rsid w:val="00467D45"/>
    <w:rsid w:val="004715BA"/>
    <w:rsid w:val="004719F4"/>
    <w:rsid w:val="00471C5D"/>
    <w:rsid w:val="0047351B"/>
    <w:rsid w:val="00473ADE"/>
    <w:rsid w:val="00481F95"/>
    <w:rsid w:val="004847B3"/>
    <w:rsid w:val="004854F5"/>
    <w:rsid w:val="00485C97"/>
    <w:rsid w:val="004862DE"/>
    <w:rsid w:val="004875DD"/>
    <w:rsid w:val="00487F93"/>
    <w:rsid w:val="004910E4"/>
    <w:rsid w:val="00491198"/>
    <w:rsid w:val="00492B98"/>
    <w:rsid w:val="00493739"/>
    <w:rsid w:val="00493A59"/>
    <w:rsid w:val="00495132"/>
    <w:rsid w:val="00495FBB"/>
    <w:rsid w:val="004970CD"/>
    <w:rsid w:val="004977A2"/>
    <w:rsid w:val="004A1F35"/>
    <w:rsid w:val="004A334D"/>
    <w:rsid w:val="004A4089"/>
    <w:rsid w:val="004A5B6F"/>
    <w:rsid w:val="004B0446"/>
    <w:rsid w:val="004B25FE"/>
    <w:rsid w:val="004B2B4B"/>
    <w:rsid w:val="004B47D3"/>
    <w:rsid w:val="004C0BF6"/>
    <w:rsid w:val="004C2451"/>
    <w:rsid w:val="004C3DE6"/>
    <w:rsid w:val="004C3EE5"/>
    <w:rsid w:val="004C5DB2"/>
    <w:rsid w:val="004C5FF8"/>
    <w:rsid w:val="004C7ABA"/>
    <w:rsid w:val="004D0E78"/>
    <w:rsid w:val="004D1497"/>
    <w:rsid w:val="004D5332"/>
    <w:rsid w:val="004D6FB9"/>
    <w:rsid w:val="004D7424"/>
    <w:rsid w:val="004E3464"/>
    <w:rsid w:val="004E3F68"/>
    <w:rsid w:val="004E3FEB"/>
    <w:rsid w:val="004E7E09"/>
    <w:rsid w:val="004F09CF"/>
    <w:rsid w:val="004F1496"/>
    <w:rsid w:val="004F3002"/>
    <w:rsid w:val="004F3251"/>
    <w:rsid w:val="004F3B62"/>
    <w:rsid w:val="004F3B82"/>
    <w:rsid w:val="004F4F18"/>
    <w:rsid w:val="004F4F55"/>
    <w:rsid w:val="00500DD7"/>
    <w:rsid w:val="0050202B"/>
    <w:rsid w:val="005021C9"/>
    <w:rsid w:val="005034A5"/>
    <w:rsid w:val="005054CD"/>
    <w:rsid w:val="00505DCD"/>
    <w:rsid w:val="00512368"/>
    <w:rsid w:val="005128C3"/>
    <w:rsid w:val="00513EE7"/>
    <w:rsid w:val="00516CE7"/>
    <w:rsid w:val="00523273"/>
    <w:rsid w:val="00523681"/>
    <w:rsid w:val="00524E73"/>
    <w:rsid w:val="005252E2"/>
    <w:rsid w:val="005258F7"/>
    <w:rsid w:val="00525D93"/>
    <w:rsid w:val="00527FDF"/>
    <w:rsid w:val="00532408"/>
    <w:rsid w:val="0053310D"/>
    <w:rsid w:val="00533EDC"/>
    <w:rsid w:val="00535099"/>
    <w:rsid w:val="005376F2"/>
    <w:rsid w:val="00540006"/>
    <w:rsid w:val="00541E09"/>
    <w:rsid w:val="00542CDC"/>
    <w:rsid w:val="005430EE"/>
    <w:rsid w:val="00544583"/>
    <w:rsid w:val="00544BA8"/>
    <w:rsid w:val="00546815"/>
    <w:rsid w:val="00550C12"/>
    <w:rsid w:val="0055204D"/>
    <w:rsid w:val="00552840"/>
    <w:rsid w:val="00555D78"/>
    <w:rsid w:val="00562A09"/>
    <w:rsid w:val="00563494"/>
    <w:rsid w:val="005668F5"/>
    <w:rsid w:val="00570CB9"/>
    <w:rsid w:val="00571345"/>
    <w:rsid w:val="00573317"/>
    <w:rsid w:val="0057418B"/>
    <w:rsid w:val="00576503"/>
    <w:rsid w:val="00577C3A"/>
    <w:rsid w:val="0058104C"/>
    <w:rsid w:val="00583A95"/>
    <w:rsid w:val="005847DE"/>
    <w:rsid w:val="00584C33"/>
    <w:rsid w:val="005862AF"/>
    <w:rsid w:val="00586BF2"/>
    <w:rsid w:val="00592438"/>
    <w:rsid w:val="005926B8"/>
    <w:rsid w:val="00593572"/>
    <w:rsid w:val="0059561E"/>
    <w:rsid w:val="005973D9"/>
    <w:rsid w:val="005975D5"/>
    <w:rsid w:val="005A0728"/>
    <w:rsid w:val="005A23A4"/>
    <w:rsid w:val="005A27FA"/>
    <w:rsid w:val="005A4114"/>
    <w:rsid w:val="005A560C"/>
    <w:rsid w:val="005A69E8"/>
    <w:rsid w:val="005B4F3E"/>
    <w:rsid w:val="005B510C"/>
    <w:rsid w:val="005B60C8"/>
    <w:rsid w:val="005B64FD"/>
    <w:rsid w:val="005B6C14"/>
    <w:rsid w:val="005B7BC3"/>
    <w:rsid w:val="005C11A2"/>
    <w:rsid w:val="005C23E5"/>
    <w:rsid w:val="005C2B92"/>
    <w:rsid w:val="005C3F78"/>
    <w:rsid w:val="005C47B6"/>
    <w:rsid w:val="005C6970"/>
    <w:rsid w:val="005C7D13"/>
    <w:rsid w:val="005D0AC4"/>
    <w:rsid w:val="005D157A"/>
    <w:rsid w:val="005D1671"/>
    <w:rsid w:val="005D2EC3"/>
    <w:rsid w:val="005D2FB8"/>
    <w:rsid w:val="005D449E"/>
    <w:rsid w:val="005D542D"/>
    <w:rsid w:val="005E10BC"/>
    <w:rsid w:val="005E11FC"/>
    <w:rsid w:val="005E2528"/>
    <w:rsid w:val="005E29EE"/>
    <w:rsid w:val="005E40F6"/>
    <w:rsid w:val="005E45A1"/>
    <w:rsid w:val="005E45CB"/>
    <w:rsid w:val="005E4D89"/>
    <w:rsid w:val="005E610E"/>
    <w:rsid w:val="005E7862"/>
    <w:rsid w:val="005F11A0"/>
    <w:rsid w:val="005F20E3"/>
    <w:rsid w:val="005F2489"/>
    <w:rsid w:val="005F2572"/>
    <w:rsid w:val="005F2AE5"/>
    <w:rsid w:val="005F2E02"/>
    <w:rsid w:val="005F4275"/>
    <w:rsid w:val="005F5663"/>
    <w:rsid w:val="005F5E7C"/>
    <w:rsid w:val="005F6DC7"/>
    <w:rsid w:val="005F7A2C"/>
    <w:rsid w:val="00600EAC"/>
    <w:rsid w:val="00603701"/>
    <w:rsid w:val="006049EB"/>
    <w:rsid w:val="00606520"/>
    <w:rsid w:val="00612910"/>
    <w:rsid w:val="00615091"/>
    <w:rsid w:val="00615647"/>
    <w:rsid w:val="006157B8"/>
    <w:rsid w:val="006207A9"/>
    <w:rsid w:val="00621851"/>
    <w:rsid w:val="006224CD"/>
    <w:rsid w:val="006232B7"/>
    <w:rsid w:val="006245BF"/>
    <w:rsid w:val="00625541"/>
    <w:rsid w:val="00626077"/>
    <w:rsid w:val="00626C9B"/>
    <w:rsid w:val="00626CF2"/>
    <w:rsid w:val="00627F1A"/>
    <w:rsid w:val="0063055B"/>
    <w:rsid w:val="0063162C"/>
    <w:rsid w:val="00635306"/>
    <w:rsid w:val="0063567C"/>
    <w:rsid w:val="00636C6F"/>
    <w:rsid w:val="00640987"/>
    <w:rsid w:val="00640BA1"/>
    <w:rsid w:val="0064419D"/>
    <w:rsid w:val="00644B9B"/>
    <w:rsid w:val="00645127"/>
    <w:rsid w:val="006504C8"/>
    <w:rsid w:val="00651E46"/>
    <w:rsid w:val="00652212"/>
    <w:rsid w:val="0065374E"/>
    <w:rsid w:val="00655AB9"/>
    <w:rsid w:val="00660343"/>
    <w:rsid w:val="00660478"/>
    <w:rsid w:val="006613D3"/>
    <w:rsid w:val="00661546"/>
    <w:rsid w:val="00661ACC"/>
    <w:rsid w:val="0066331E"/>
    <w:rsid w:val="00666E50"/>
    <w:rsid w:val="006708AC"/>
    <w:rsid w:val="00670F3E"/>
    <w:rsid w:val="00672DF2"/>
    <w:rsid w:val="006757A3"/>
    <w:rsid w:val="0068358A"/>
    <w:rsid w:val="00684B69"/>
    <w:rsid w:val="00686FA7"/>
    <w:rsid w:val="006870FF"/>
    <w:rsid w:val="0068798B"/>
    <w:rsid w:val="00687E30"/>
    <w:rsid w:val="00690F7F"/>
    <w:rsid w:val="00692874"/>
    <w:rsid w:val="00692C13"/>
    <w:rsid w:val="006938E7"/>
    <w:rsid w:val="0069451E"/>
    <w:rsid w:val="00694729"/>
    <w:rsid w:val="0069705E"/>
    <w:rsid w:val="00697BEC"/>
    <w:rsid w:val="006A2B61"/>
    <w:rsid w:val="006A3805"/>
    <w:rsid w:val="006A3B02"/>
    <w:rsid w:val="006A3E3E"/>
    <w:rsid w:val="006A5D25"/>
    <w:rsid w:val="006A6BED"/>
    <w:rsid w:val="006A711B"/>
    <w:rsid w:val="006A7DB0"/>
    <w:rsid w:val="006A7FAC"/>
    <w:rsid w:val="006B1FFD"/>
    <w:rsid w:val="006B3AEA"/>
    <w:rsid w:val="006B7D11"/>
    <w:rsid w:val="006C0AFF"/>
    <w:rsid w:val="006C0B64"/>
    <w:rsid w:val="006C2F23"/>
    <w:rsid w:val="006C3339"/>
    <w:rsid w:val="006C3856"/>
    <w:rsid w:val="006C4AB3"/>
    <w:rsid w:val="006C6D3A"/>
    <w:rsid w:val="006C721F"/>
    <w:rsid w:val="006D1C60"/>
    <w:rsid w:val="006D1CA2"/>
    <w:rsid w:val="006D2D87"/>
    <w:rsid w:val="006E0313"/>
    <w:rsid w:val="006E0687"/>
    <w:rsid w:val="006E1B3B"/>
    <w:rsid w:val="006E2BFD"/>
    <w:rsid w:val="006E2D2C"/>
    <w:rsid w:val="006E51BF"/>
    <w:rsid w:val="006E6937"/>
    <w:rsid w:val="006F0741"/>
    <w:rsid w:val="006F2482"/>
    <w:rsid w:val="006F32F9"/>
    <w:rsid w:val="006F55B2"/>
    <w:rsid w:val="00701C7D"/>
    <w:rsid w:val="00702A7E"/>
    <w:rsid w:val="00702F54"/>
    <w:rsid w:val="007062A6"/>
    <w:rsid w:val="00707D84"/>
    <w:rsid w:val="00707EAF"/>
    <w:rsid w:val="00713BF9"/>
    <w:rsid w:val="007149E3"/>
    <w:rsid w:val="00714B4C"/>
    <w:rsid w:val="00715D81"/>
    <w:rsid w:val="00716C46"/>
    <w:rsid w:val="00717BAB"/>
    <w:rsid w:val="00721739"/>
    <w:rsid w:val="007232EE"/>
    <w:rsid w:val="00723386"/>
    <w:rsid w:val="0072430A"/>
    <w:rsid w:val="0072491C"/>
    <w:rsid w:val="00725874"/>
    <w:rsid w:val="00725EB0"/>
    <w:rsid w:val="00726AE0"/>
    <w:rsid w:val="00727499"/>
    <w:rsid w:val="00727D42"/>
    <w:rsid w:val="00732188"/>
    <w:rsid w:val="00732952"/>
    <w:rsid w:val="00734823"/>
    <w:rsid w:val="00735B44"/>
    <w:rsid w:val="00736766"/>
    <w:rsid w:val="00740F69"/>
    <w:rsid w:val="00741721"/>
    <w:rsid w:val="00741BC4"/>
    <w:rsid w:val="007421C2"/>
    <w:rsid w:val="0074603F"/>
    <w:rsid w:val="00750089"/>
    <w:rsid w:val="007535CE"/>
    <w:rsid w:val="0075467F"/>
    <w:rsid w:val="00754F89"/>
    <w:rsid w:val="00757ADF"/>
    <w:rsid w:val="0076057F"/>
    <w:rsid w:val="007628D7"/>
    <w:rsid w:val="007637E4"/>
    <w:rsid w:val="007654D5"/>
    <w:rsid w:val="007661F4"/>
    <w:rsid w:val="0076675F"/>
    <w:rsid w:val="0077018F"/>
    <w:rsid w:val="0077237F"/>
    <w:rsid w:val="00772452"/>
    <w:rsid w:val="00772B94"/>
    <w:rsid w:val="0077347A"/>
    <w:rsid w:val="007738A8"/>
    <w:rsid w:val="007753A9"/>
    <w:rsid w:val="0077572D"/>
    <w:rsid w:val="007761FA"/>
    <w:rsid w:val="00780B36"/>
    <w:rsid w:val="00783F3B"/>
    <w:rsid w:val="00786172"/>
    <w:rsid w:val="00791BAF"/>
    <w:rsid w:val="0079433E"/>
    <w:rsid w:val="00794E20"/>
    <w:rsid w:val="0079585E"/>
    <w:rsid w:val="00796A87"/>
    <w:rsid w:val="00796F9F"/>
    <w:rsid w:val="007A1CB8"/>
    <w:rsid w:val="007A32C7"/>
    <w:rsid w:val="007A4EAB"/>
    <w:rsid w:val="007A53A7"/>
    <w:rsid w:val="007A56EE"/>
    <w:rsid w:val="007A5F8A"/>
    <w:rsid w:val="007A77C3"/>
    <w:rsid w:val="007B11E9"/>
    <w:rsid w:val="007B2D5A"/>
    <w:rsid w:val="007B3D5D"/>
    <w:rsid w:val="007B4046"/>
    <w:rsid w:val="007B42DB"/>
    <w:rsid w:val="007B557E"/>
    <w:rsid w:val="007C3A39"/>
    <w:rsid w:val="007C6D89"/>
    <w:rsid w:val="007D1596"/>
    <w:rsid w:val="007D26C1"/>
    <w:rsid w:val="007D40C1"/>
    <w:rsid w:val="007D5393"/>
    <w:rsid w:val="007D6344"/>
    <w:rsid w:val="007E0020"/>
    <w:rsid w:val="007E1682"/>
    <w:rsid w:val="007E342B"/>
    <w:rsid w:val="007E568B"/>
    <w:rsid w:val="007E6217"/>
    <w:rsid w:val="007F48EF"/>
    <w:rsid w:val="007F4B43"/>
    <w:rsid w:val="007F6ECA"/>
    <w:rsid w:val="008008C2"/>
    <w:rsid w:val="00801FC6"/>
    <w:rsid w:val="00803B3C"/>
    <w:rsid w:val="00805715"/>
    <w:rsid w:val="008072AA"/>
    <w:rsid w:val="0080742B"/>
    <w:rsid w:val="00807681"/>
    <w:rsid w:val="00810B7C"/>
    <w:rsid w:val="00810DCB"/>
    <w:rsid w:val="008139AE"/>
    <w:rsid w:val="00814A96"/>
    <w:rsid w:val="00815320"/>
    <w:rsid w:val="00815B4A"/>
    <w:rsid w:val="00815D3A"/>
    <w:rsid w:val="00821B91"/>
    <w:rsid w:val="00823172"/>
    <w:rsid w:val="00827D55"/>
    <w:rsid w:val="0083051A"/>
    <w:rsid w:val="008315D2"/>
    <w:rsid w:val="008316FB"/>
    <w:rsid w:val="0083291B"/>
    <w:rsid w:val="008344FE"/>
    <w:rsid w:val="008378AD"/>
    <w:rsid w:val="00840825"/>
    <w:rsid w:val="00841486"/>
    <w:rsid w:val="00841E41"/>
    <w:rsid w:val="00841F0C"/>
    <w:rsid w:val="008479C4"/>
    <w:rsid w:val="00851957"/>
    <w:rsid w:val="00852258"/>
    <w:rsid w:val="00852475"/>
    <w:rsid w:val="00855AB6"/>
    <w:rsid w:val="0085623E"/>
    <w:rsid w:val="008579CF"/>
    <w:rsid w:val="008602BE"/>
    <w:rsid w:val="008604BD"/>
    <w:rsid w:val="0086169F"/>
    <w:rsid w:val="0086254D"/>
    <w:rsid w:val="0086547A"/>
    <w:rsid w:val="00865FF2"/>
    <w:rsid w:val="008677E8"/>
    <w:rsid w:val="00867A9C"/>
    <w:rsid w:val="00872062"/>
    <w:rsid w:val="00873452"/>
    <w:rsid w:val="00873E12"/>
    <w:rsid w:val="008747EB"/>
    <w:rsid w:val="00880553"/>
    <w:rsid w:val="008812F5"/>
    <w:rsid w:val="00882C70"/>
    <w:rsid w:val="00886941"/>
    <w:rsid w:val="00887062"/>
    <w:rsid w:val="00891E37"/>
    <w:rsid w:val="0089300A"/>
    <w:rsid w:val="0089345A"/>
    <w:rsid w:val="0089681D"/>
    <w:rsid w:val="008970C3"/>
    <w:rsid w:val="008975E5"/>
    <w:rsid w:val="00897A6C"/>
    <w:rsid w:val="008A01C3"/>
    <w:rsid w:val="008A131F"/>
    <w:rsid w:val="008A2640"/>
    <w:rsid w:val="008A2E78"/>
    <w:rsid w:val="008A53C5"/>
    <w:rsid w:val="008A593F"/>
    <w:rsid w:val="008A712D"/>
    <w:rsid w:val="008B21C7"/>
    <w:rsid w:val="008B3EC2"/>
    <w:rsid w:val="008B6571"/>
    <w:rsid w:val="008B72AA"/>
    <w:rsid w:val="008B74DD"/>
    <w:rsid w:val="008B7670"/>
    <w:rsid w:val="008C0332"/>
    <w:rsid w:val="008C094F"/>
    <w:rsid w:val="008C249D"/>
    <w:rsid w:val="008C2A4B"/>
    <w:rsid w:val="008C31A7"/>
    <w:rsid w:val="008C40D9"/>
    <w:rsid w:val="008C4957"/>
    <w:rsid w:val="008C55F3"/>
    <w:rsid w:val="008D055B"/>
    <w:rsid w:val="008D15CB"/>
    <w:rsid w:val="008D2804"/>
    <w:rsid w:val="008D2972"/>
    <w:rsid w:val="008D35F0"/>
    <w:rsid w:val="008D39C0"/>
    <w:rsid w:val="008D42F6"/>
    <w:rsid w:val="008D567D"/>
    <w:rsid w:val="008D686B"/>
    <w:rsid w:val="008D6F18"/>
    <w:rsid w:val="008D70EF"/>
    <w:rsid w:val="008D7AD6"/>
    <w:rsid w:val="008E21CB"/>
    <w:rsid w:val="008E54A5"/>
    <w:rsid w:val="008E57A4"/>
    <w:rsid w:val="008E757E"/>
    <w:rsid w:val="008F1710"/>
    <w:rsid w:val="008F492E"/>
    <w:rsid w:val="008F4F51"/>
    <w:rsid w:val="008F7EAB"/>
    <w:rsid w:val="009005B0"/>
    <w:rsid w:val="00901C71"/>
    <w:rsid w:val="00902ED1"/>
    <w:rsid w:val="00903DA4"/>
    <w:rsid w:val="0090507D"/>
    <w:rsid w:val="00905AF9"/>
    <w:rsid w:val="0090735B"/>
    <w:rsid w:val="00907D1C"/>
    <w:rsid w:val="0091285E"/>
    <w:rsid w:val="00914599"/>
    <w:rsid w:val="009147CA"/>
    <w:rsid w:val="009158CE"/>
    <w:rsid w:val="00917DE8"/>
    <w:rsid w:val="0092395E"/>
    <w:rsid w:val="00923EC1"/>
    <w:rsid w:val="00923F28"/>
    <w:rsid w:val="0092436F"/>
    <w:rsid w:val="009248A2"/>
    <w:rsid w:val="00924E80"/>
    <w:rsid w:val="00926AB3"/>
    <w:rsid w:val="009308BD"/>
    <w:rsid w:val="00930F3B"/>
    <w:rsid w:val="00931296"/>
    <w:rsid w:val="0093207B"/>
    <w:rsid w:val="00932E54"/>
    <w:rsid w:val="00933558"/>
    <w:rsid w:val="009348AB"/>
    <w:rsid w:val="00934E02"/>
    <w:rsid w:val="00936726"/>
    <w:rsid w:val="00937AF4"/>
    <w:rsid w:val="0094175A"/>
    <w:rsid w:val="009463F2"/>
    <w:rsid w:val="009501D3"/>
    <w:rsid w:val="00951A90"/>
    <w:rsid w:val="00951FBF"/>
    <w:rsid w:val="009529C8"/>
    <w:rsid w:val="009533AE"/>
    <w:rsid w:val="0095585F"/>
    <w:rsid w:val="00955B64"/>
    <w:rsid w:val="00960BBB"/>
    <w:rsid w:val="00963677"/>
    <w:rsid w:val="0096420E"/>
    <w:rsid w:val="009654E9"/>
    <w:rsid w:val="00965C7F"/>
    <w:rsid w:val="00970DB0"/>
    <w:rsid w:val="00971528"/>
    <w:rsid w:val="00971903"/>
    <w:rsid w:val="00971E6F"/>
    <w:rsid w:val="009739D0"/>
    <w:rsid w:val="009747FB"/>
    <w:rsid w:val="00974A4C"/>
    <w:rsid w:val="009750B3"/>
    <w:rsid w:val="00976F0F"/>
    <w:rsid w:val="00981E3A"/>
    <w:rsid w:val="0098274F"/>
    <w:rsid w:val="00982CC8"/>
    <w:rsid w:val="0098611F"/>
    <w:rsid w:val="00987C37"/>
    <w:rsid w:val="009902DD"/>
    <w:rsid w:val="00990920"/>
    <w:rsid w:val="009959C4"/>
    <w:rsid w:val="00997A19"/>
    <w:rsid w:val="00997DEA"/>
    <w:rsid w:val="009A09C9"/>
    <w:rsid w:val="009A3B4F"/>
    <w:rsid w:val="009A4A9A"/>
    <w:rsid w:val="009A4BFC"/>
    <w:rsid w:val="009A6245"/>
    <w:rsid w:val="009A7276"/>
    <w:rsid w:val="009A792A"/>
    <w:rsid w:val="009B5220"/>
    <w:rsid w:val="009B64AA"/>
    <w:rsid w:val="009B7B72"/>
    <w:rsid w:val="009C067A"/>
    <w:rsid w:val="009C1F50"/>
    <w:rsid w:val="009C2D4E"/>
    <w:rsid w:val="009C4982"/>
    <w:rsid w:val="009D023E"/>
    <w:rsid w:val="009D067D"/>
    <w:rsid w:val="009D17C0"/>
    <w:rsid w:val="009D19EC"/>
    <w:rsid w:val="009D4CE8"/>
    <w:rsid w:val="009D50C8"/>
    <w:rsid w:val="009D521F"/>
    <w:rsid w:val="009D76F8"/>
    <w:rsid w:val="009D7A2A"/>
    <w:rsid w:val="009E0558"/>
    <w:rsid w:val="009E0B49"/>
    <w:rsid w:val="009E4692"/>
    <w:rsid w:val="009E6001"/>
    <w:rsid w:val="009E74BE"/>
    <w:rsid w:val="009F004E"/>
    <w:rsid w:val="009F01D2"/>
    <w:rsid w:val="009F55E0"/>
    <w:rsid w:val="009F5887"/>
    <w:rsid w:val="009F5A84"/>
    <w:rsid w:val="009F5E65"/>
    <w:rsid w:val="009F5FF0"/>
    <w:rsid w:val="00A00E72"/>
    <w:rsid w:val="00A01569"/>
    <w:rsid w:val="00A02F43"/>
    <w:rsid w:val="00A05298"/>
    <w:rsid w:val="00A07738"/>
    <w:rsid w:val="00A20AEE"/>
    <w:rsid w:val="00A21145"/>
    <w:rsid w:val="00A22669"/>
    <w:rsid w:val="00A22DFE"/>
    <w:rsid w:val="00A2325E"/>
    <w:rsid w:val="00A23F2F"/>
    <w:rsid w:val="00A2592B"/>
    <w:rsid w:val="00A26F40"/>
    <w:rsid w:val="00A34019"/>
    <w:rsid w:val="00A34A18"/>
    <w:rsid w:val="00A355F6"/>
    <w:rsid w:val="00A36505"/>
    <w:rsid w:val="00A411F9"/>
    <w:rsid w:val="00A42233"/>
    <w:rsid w:val="00A44657"/>
    <w:rsid w:val="00A45E1F"/>
    <w:rsid w:val="00A54152"/>
    <w:rsid w:val="00A541D4"/>
    <w:rsid w:val="00A55A76"/>
    <w:rsid w:val="00A56A62"/>
    <w:rsid w:val="00A609F2"/>
    <w:rsid w:val="00A62F5D"/>
    <w:rsid w:val="00A6390F"/>
    <w:rsid w:val="00A6477C"/>
    <w:rsid w:val="00A65EC0"/>
    <w:rsid w:val="00A65FC1"/>
    <w:rsid w:val="00A66715"/>
    <w:rsid w:val="00A67DDB"/>
    <w:rsid w:val="00A704A6"/>
    <w:rsid w:val="00A748F9"/>
    <w:rsid w:val="00A76B97"/>
    <w:rsid w:val="00A77BEF"/>
    <w:rsid w:val="00A77DA5"/>
    <w:rsid w:val="00A82964"/>
    <w:rsid w:val="00A83A47"/>
    <w:rsid w:val="00A855B3"/>
    <w:rsid w:val="00A86F88"/>
    <w:rsid w:val="00A8712A"/>
    <w:rsid w:val="00A909F2"/>
    <w:rsid w:val="00A90A80"/>
    <w:rsid w:val="00A917C0"/>
    <w:rsid w:val="00A94AA0"/>
    <w:rsid w:val="00A9570F"/>
    <w:rsid w:val="00AA026F"/>
    <w:rsid w:val="00AA04F1"/>
    <w:rsid w:val="00AA3A6D"/>
    <w:rsid w:val="00AA4561"/>
    <w:rsid w:val="00AA4F13"/>
    <w:rsid w:val="00AA5FA8"/>
    <w:rsid w:val="00AA76B4"/>
    <w:rsid w:val="00AB1CCE"/>
    <w:rsid w:val="00AB366F"/>
    <w:rsid w:val="00AB7E22"/>
    <w:rsid w:val="00AC160F"/>
    <w:rsid w:val="00AC186D"/>
    <w:rsid w:val="00AC40FD"/>
    <w:rsid w:val="00AC4DBC"/>
    <w:rsid w:val="00AC4E71"/>
    <w:rsid w:val="00AC50AC"/>
    <w:rsid w:val="00AD26A0"/>
    <w:rsid w:val="00AD5E76"/>
    <w:rsid w:val="00AD6292"/>
    <w:rsid w:val="00AD69FE"/>
    <w:rsid w:val="00AE2F3E"/>
    <w:rsid w:val="00AE3461"/>
    <w:rsid w:val="00AE35B9"/>
    <w:rsid w:val="00AE5003"/>
    <w:rsid w:val="00AE5043"/>
    <w:rsid w:val="00AE6D6B"/>
    <w:rsid w:val="00AF0E16"/>
    <w:rsid w:val="00AF0E92"/>
    <w:rsid w:val="00AF1FBE"/>
    <w:rsid w:val="00AF2E4D"/>
    <w:rsid w:val="00AF4E30"/>
    <w:rsid w:val="00B004AF"/>
    <w:rsid w:val="00B00A14"/>
    <w:rsid w:val="00B016DE"/>
    <w:rsid w:val="00B017C4"/>
    <w:rsid w:val="00B023BC"/>
    <w:rsid w:val="00B0578D"/>
    <w:rsid w:val="00B067AC"/>
    <w:rsid w:val="00B069FF"/>
    <w:rsid w:val="00B06DD4"/>
    <w:rsid w:val="00B0710A"/>
    <w:rsid w:val="00B07183"/>
    <w:rsid w:val="00B10EDC"/>
    <w:rsid w:val="00B124DC"/>
    <w:rsid w:val="00B1382B"/>
    <w:rsid w:val="00B15620"/>
    <w:rsid w:val="00B17A6F"/>
    <w:rsid w:val="00B200BB"/>
    <w:rsid w:val="00B212B7"/>
    <w:rsid w:val="00B219CA"/>
    <w:rsid w:val="00B23006"/>
    <w:rsid w:val="00B2431E"/>
    <w:rsid w:val="00B245C1"/>
    <w:rsid w:val="00B26913"/>
    <w:rsid w:val="00B26FD2"/>
    <w:rsid w:val="00B27401"/>
    <w:rsid w:val="00B2797D"/>
    <w:rsid w:val="00B30297"/>
    <w:rsid w:val="00B31E59"/>
    <w:rsid w:val="00B33084"/>
    <w:rsid w:val="00B33514"/>
    <w:rsid w:val="00B37AB2"/>
    <w:rsid w:val="00B414CB"/>
    <w:rsid w:val="00B42BF0"/>
    <w:rsid w:val="00B43444"/>
    <w:rsid w:val="00B4457E"/>
    <w:rsid w:val="00B445C2"/>
    <w:rsid w:val="00B461A1"/>
    <w:rsid w:val="00B47208"/>
    <w:rsid w:val="00B52591"/>
    <w:rsid w:val="00B529B4"/>
    <w:rsid w:val="00B54916"/>
    <w:rsid w:val="00B54F82"/>
    <w:rsid w:val="00B5615A"/>
    <w:rsid w:val="00B563A2"/>
    <w:rsid w:val="00B563C9"/>
    <w:rsid w:val="00B6305C"/>
    <w:rsid w:val="00B63265"/>
    <w:rsid w:val="00B63BE7"/>
    <w:rsid w:val="00B7019F"/>
    <w:rsid w:val="00B713C8"/>
    <w:rsid w:val="00B71674"/>
    <w:rsid w:val="00B71A34"/>
    <w:rsid w:val="00B75996"/>
    <w:rsid w:val="00B75AB2"/>
    <w:rsid w:val="00B75BE7"/>
    <w:rsid w:val="00B75E6A"/>
    <w:rsid w:val="00B76FDD"/>
    <w:rsid w:val="00B771D3"/>
    <w:rsid w:val="00B80163"/>
    <w:rsid w:val="00B82818"/>
    <w:rsid w:val="00B82CE7"/>
    <w:rsid w:val="00B82DC9"/>
    <w:rsid w:val="00B90A4E"/>
    <w:rsid w:val="00B90EDF"/>
    <w:rsid w:val="00B911C9"/>
    <w:rsid w:val="00B97727"/>
    <w:rsid w:val="00BA17EF"/>
    <w:rsid w:val="00BA21AA"/>
    <w:rsid w:val="00BA52E6"/>
    <w:rsid w:val="00BA5B81"/>
    <w:rsid w:val="00BA6D05"/>
    <w:rsid w:val="00BA6D88"/>
    <w:rsid w:val="00BA6FC2"/>
    <w:rsid w:val="00BB2AE2"/>
    <w:rsid w:val="00BB3430"/>
    <w:rsid w:val="00BB4444"/>
    <w:rsid w:val="00BB4AE4"/>
    <w:rsid w:val="00BC1841"/>
    <w:rsid w:val="00BC1FF9"/>
    <w:rsid w:val="00BC2DFD"/>
    <w:rsid w:val="00BC65F8"/>
    <w:rsid w:val="00BC6A83"/>
    <w:rsid w:val="00BC6E79"/>
    <w:rsid w:val="00BC7B51"/>
    <w:rsid w:val="00BD0137"/>
    <w:rsid w:val="00BD0952"/>
    <w:rsid w:val="00BD18E2"/>
    <w:rsid w:val="00BD5040"/>
    <w:rsid w:val="00BD571F"/>
    <w:rsid w:val="00BD6530"/>
    <w:rsid w:val="00BD7286"/>
    <w:rsid w:val="00BD73EC"/>
    <w:rsid w:val="00BE0340"/>
    <w:rsid w:val="00BE06CA"/>
    <w:rsid w:val="00BE185B"/>
    <w:rsid w:val="00BE1ADB"/>
    <w:rsid w:val="00BE2C16"/>
    <w:rsid w:val="00BE5192"/>
    <w:rsid w:val="00BE5AF8"/>
    <w:rsid w:val="00BE685F"/>
    <w:rsid w:val="00BE6DB7"/>
    <w:rsid w:val="00BE76E5"/>
    <w:rsid w:val="00BF11D5"/>
    <w:rsid w:val="00BF272B"/>
    <w:rsid w:val="00BF2C85"/>
    <w:rsid w:val="00BF3194"/>
    <w:rsid w:val="00C00017"/>
    <w:rsid w:val="00C0459F"/>
    <w:rsid w:val="00C06322"/>
    <w:rsid w:val="00C069CB"/>
    <w:rsid w:val="00C13A98"/>
    <w:rsid w:val="00C14757"/>
    <w:rsid w:val="00C1538D"/>
    <w:rsid w:val="00C1648E"/>
    <w:rsid w:val="00C26619"/>
    <w:rsid w:val="00C269EF"/>
    <w:rsid w:val="00C27772"/>
    <w:rsid w:val="00C31280"/>
    <w:rsid w:val="00C31611"/>
    <w:rsid w:val="00C32840"/>
    <w:rsid w:val="00C32D72"/>
    <w:rsid w:val="00C330BA"/>
    <w:rsid w:val="00C33AFE"/>
    <w:rsid w:val="00C40530"/>
    <w:rsid w:val="00C414B8"/>
    <w:rsid w:val="00C4316A"/>
    <w:rsid w:val="00C436C5"/>
    <w:rsid w:val="00C4658E"/>
    <w:rsid w:val="00C5064E"/>
    <w:rsid w:val="00C52317"/>
    <w:rsid w:val="00C529DF"/>
    <w:rsid w:val="00C5415D"/>
    <w:rsid w:val="00C547DF"/>
    <w:rsid w:val="00C57C03"/>
    <w:rsid w:val="00C6103F"/>
    <w:rsid w:val="00C617F3"/>
    <w:rsid w:val="00C6296C"/>
    <w:rsid w:val="00C632C2"/>
    <w:rsid w:val="00C63A90"/>
    <w:rsid w:val="00C63FAE"/>
    <w:rsid w:val="00C6523D"/>
    <w:rsid w:val="00C67C57"/>
    <w:rsid w:val="00C70E5D"/>
    <w:rsid w:val="00C721A3"/>
    <w:rsid w:val="00C75525"/>
    <w:rsid w:val="00C77284"/>
    <w:rsid w:val="00C8018B"/>
    <w:rsid w:val="00C815FB"/>
    <w:rsid w:val="00C82365"/>
    <w:rsid w:val="00C82B3F"/>
    <w:rsid w:val="00C83187"/>
    <w:rsid w:val="00C83554"/>
    <w:rsid w:val="00C8387D"/>
    <w:rsid w:val="00C83F79"/>
    <w:rsid w:val="00C8587C"/>
    <w:rsid w:val="00C87022"/>
    <w:rsid w:val="00C87783"/>
    <w:rsid w:val="00C91676"/>
    <w:rsid w:val="00C932D1"/>
    <w:rsid w:val="00C93A3E"/>
    <w:rsid w:val="00C94AB6"/>
    <w:rsid w:val="00C94EB0"/>
    <w:rsid w:val="00C961B2"/>
    <w:rsid w:val="00C9633E"/>
    <w:rsid w:val="00C97E43"/>
    <w:rsid w:val="00CA1314"/>
    <w:rsid w:val="00CA18C6"/>
    <w:rsid w:val="00CA1CB9"/>
    <w:rsid w:val="00CA21E4"/>
    <w:rsid w:val="00CA32F9"/>
    <w:rsid w:val="00CA4AC7"/>
    <w:rsid w:val="00CA56C6"/>
    <w:rsid w:val="00CA5A5E"/>
    <w:rsid w:val="00CA62D4"/>
    <w:rsid w:val="00CB154D"/>
    <w:rsid w:val="00CB2FB1"/>
    <w:rsid w:val="00CB3FED"/>
    <w:rsid w:val="00CB4059"/>
    <w:rsid w:val="00CB488D"/>
    <w:rsid w:val="00CB4A16"/>
    <w:rsid w:val="00CB4D70"/>
    <w:rsid w:val="00CB5A98"/>
    <w:rsid w:val="00CB5BA4"/>
    <w:rsid w:val="00CB655B"/>
    <w:rsid w:val="00CB73B1"/>
    <w:rsid w:val="00CC33E8"/>
    <w:rsid w:val="00CC3D14"/>
    <w:rsid w:val="00CC4DA8"/>
    <w:rsid w:val="00CC6565"/>
    <w:rsid w:val="00CC6A26"/>
    <w:rsid w:val="00CC6A7D"/>
    <w:rsid w:val="00CC6FC3"/>
    <w:rsid w:val="00CC7FAA"/>
    <w:rsid w:val="00CD26AB"/>
    <w:rsid w:val="00CD343B"/>
    <w:rsid w:val="00CD3C5F"/>
    <w:rsid w:val="00CD5882"/>
    <w:rsid w:val="00CD6DF3"/>
    <w:rsid w:val="00CD7BE5"/>
    <w:rsid w:val="00CE19DD"/>
    <w:rsid w:val="00CE2353"/>
    <w:rsid w:val="00CE2AD9"/>
    <w:rsid w:val="00CE42BC"/>
    <w:rsid w:val="00CE4628"/>
    <w:rsid w:val="00CE4A31"/>
    <w:rsid w:val="00CE527E"/>
    <w:rsid w:val="00CE6293"/>
    <w:rsid w:val="00CE6470"/>
    <w:rsid w:val="00CE70C2"/>
    <w:rsid w:val="00CE76E9"/>
    <w:rsid w:val="00CE77D0"/>
    <w:rsid w:val="00CE7D67"/>
    <w:rsid w:val="00CF28DD"/>
    <w:rsid w:val="00CF3E0C"/>
    <w:rsid w:val="00D006B8"/>
    <w:rsid w:val="00D014E8"/>
    <w:rsid w:val="00D03044"/>
    <w:rsid w:val="00D033FE"/>
    <w:rsid w:val="00D044B6"/>
    <w:rsid w:val="00D053BF"/>
    <w:rsid w:val="00D05402"/>
    <w:rsid w:val="00D06643"/>
    <w:rsid w:val="00D06B02"/>
    <w:rsid w:val="00D06E97"/>
    <w:rsid w:val="00D073BA"/>
    <w:rsid w:val="00D079C8"/>
    <w:rsid w:val="00D07DA8"/>
    <w:rsid w:val="00D1038E"/>
    <w:rsid w:val="00D12316"/>
    <w:rsid w:val="00D12A7F"/>
    <w:rsid w:val="00D138D9"/>
    <w:rsid w:val="00D13FC8"/>
    <w:rsid w:val="00D14799"/>
    <w:rsid w:val="00D14A49"/>
    <w:rsid w:val="00D16434"/>
    <w:rsid w:val="00D17027"/>
    <w:rsid w:val="00D20425"/>
    <w:rsid w:val="00D21EA3"/>
    <w:rsid w:val="00D24033"/>
    <w:rsid w:val="00D2414C"/>
    <w:rsid w:val="00D2460E"/>
    <w:rsid w:val="00D25830"/>
    <w:rsid w:val="00D26E2B"/>
    <w:rsid w:val="00D301B7"/>
    <w:rsid w:val="00D33BDE"/>
    <w:rsid w:val="00D34297"/>
    <w:rsid w:val="00D364A5"/>
    <w:rsid w:val="00D41293"/>
    <w:rsid w:val="00D435F6"/>
    <w:rsid w:val="00D43769"/>
    <w:rsid w:val="00D437C4"/>
    <w:rsid w:val="00D43FE5"/>
    <w:rsid w:val="00D4511F"/>
    <w:rsid w:val="00D45A30"/>
    <w:rsid w:val="00D46837"/>
    <w:rsid w:val="00D53BEF"/>
    <w:rsid w:val="00D54033"/>
    <w:rsid w:val="00D56CFB"/>
    <w:rsid w:val="00D5722F"/>
    <w:rsid w:val="00D65CA0"/>
    <w:rsid w:val="00D71878"/>
    <w:rsid w:val="00D72FFD"/>
    <w:rsid w:val="00D73053"/>
    <w:rsid w:val="00D731EB"/>
    <w:rsid w:val="00D73BCE"/>
    <w:rsid w:val="00D748D9"/>
    <w:rsid w:val="00D75884"/>
    <w:rsid w:val="00D77BD4"/>
    <w:rsid w:val="00D8066D"/>
    <w:rsid w:val="00D8196B"/>
    <w:rsid w:val="00D82983"/>
    <w:rsid w:val="00D82EFD"/>
    <w:rsid w:val="00D83A7F"/>
    <w:rsid w:val="00D83DA8"/>
    <w:rsid w:val="00D9105E"/>
    <w:rsid w:val="00D91BBE"/>
    <w:rsid w:val="00D979FA"/>
    <w:rsid w:val="00DA13A9"/>
    <w:rsid w:val="00DA1501"/>
    <w:rsid w:val="00DA3930"/>
    <w:rsid w:val="00DA5098"/>
    <w:rsid w:val="00DA5B07"/>
    <w:rsid w:val="00DB230C"/>
    <w:rsid w:val="00DB2E4D"/>
    <w:rsid w:val="00DB3BBE"/>
    <w:rsid w:val="00DB3FE2"/>
    <w:rsid w:val="00DB47BC"/>
    <w:rsid w:val="00DB4958"/>
    <w:rsid w:val="00DB5093"/>
    <w:rsid w:val="00DB5814"/>
    <w:rsid w:val="00DB5CA7"/>
    <w:rsid w:val="00DB7577"/>
    <w:rsid w:val="00DB78B6"/>
    <w:rsid w:val="00DC2A20"/>
    <w:rsid w:val="00DC74CB"/>
    <w:rsid w:val="00DC7AF6"/>
    <w:rsid w:val="00DD071B"/>
    <w:rsid w:val="00DD186D"/>
    <w:rsid w:val="00DD45E3"/>
    <w:rsid w:val="00DE0FA5"/>
    <w:rsid w:val="00DE63D1"/>
    <w:rsid w:val="00DE6D8D"/>
    <w:rsid w:val="00DE7C12"/>
    <w:rsid w:val="00DE7E73"/>
    <w:rsid w:val="00DF193F"/>
    <w:rsid w:val="00DF52F6"/>
    <w:rsid w:val="00DF7D33"/>
    <w:rsid w:val="00DF7F29"/>
    <w:rsid w:val="00E0032E"/>
    <w:rsid w:val="00E00A22"/>
    <w:rsid w:val="00E0169D"/>
    <w:rsid w:val="00E05175"/>
    <w:rsid w:val="00E0632B"/>
    <w:rsid w:val="00E0782D"/>
    <w:rsid w:val="00E10354"/>
    <w:rsid w:val="00E10401"/>
    <w:rsid w:val="00E104A9"/>
    <w:rsid w:val="00E108BB"/>
    <w:rsid w:val="00E11449"/>
    <w:rsid w:val="00E13CA4"/>
    <w:rsid w:val="00E13E75"/>
    <w:rsid w:val="00E14521"/>
    <w:rsid w:val="00E14553"/>
    <w:rsid w:val="00E14842"/>
    <w:rsid w:val="00E178DE"/>
    <w:rsid w:val="00E17F21"/>
    <w:rsid w:val="00E20D5B"/>
    <w:rsid w:val="00E21001"/>
    <w:rsid w:val="00E301DD"/>
    <w:rsid w:val="00E31B63"/>
    <w:rsid w:val="00E33EA7"/>
    <w:rsid w:val="00E35E7E"/>
    <w:rsid w:val="00E360C3"/>
    <w:rsid w:val="00E41A47"/>
    <w:rsid w:val="00E43A18"/>
    <w:rsid w:val="00E513CC"/>
    <w:rsid w:val="00E53FF3"/>
    <w:rsid w:val="00E54AB7"/>
    <w:rsid w:val="00E54B44"/>
    <w:rsid w:val="00E603E1"/>
    <w:rsid w:val="00E62A30"/>
    <w:rsid w:val="00E64CE1"/>
    <w:rsid w:val="00E711FE"/>
    <w:rsid w:val="00E71383"/>
    <w:rsid w:val="00E71DB6"/>
    <w:rsid w:val="00E72238"/>
    <w:rsid w:val="00E724D7"/>
    <w:rsid w:val="00E72DCC"/>
    <w:rsid w:val="00E74510"/>
    <w:rsid w:val="00E7595E"/>
    <w:rsid w:val="00E767A3"/>
    <w:rsid w:val="00E82154"/>
    <w:rsid w:val="00E8216F"/>
    <w:rsid w:val="00E82C5D"/>
    <w:rsid w:val="00E8553E"/>
    <w:rsid w:val="00E87D02"/>
    <w:rsid w:val="00E90CD3"/>
    <w:rsid w:val="00E92C3B"/>
    <w:rsid w:val="00E93C3C"/>
    <w:rsid w:val="00E964E1"/>
    <w:rsid w:val="00EA6709"/>
    <w:rsid w:val="00EA73F9"/>
    <w:rsid w:val="00EB2B2E"/>
    <w:rsid w:val="00EB5123"/>
    <w:rsid w:val="00EB5AB4"/>
    <w:rsid w:val="00EB69B8"/>
    <w:rsid w:val="00EC0C0D"/>
    <w:rsid w:val="00EC1377"/>
    <w:rsid w:val="00EC229D"/>
    <w:rsid w:val="00EC5AF6"/>
    <w:rsid w:val="00ED00B6"/>
    <w:rsid w:val="00ED1B7A"/>
    <w:rsid w:val="00ED1EEF"/>
    <w:rsid w:val="00ED41E9"/>
    <w:rsid w:val="00EE181F"/>
    <w:rsid w:val="00EE301D"/>
    <w:rsid w:val="00EE5F2C"/>
    <w:rsid w:val="00EE62AA"/>
    <w:rsid w:val="00EE62D5"/>
    <w:rsid w:val="00EF30BD"/>
    <w:rsid w:val="00EF5091"/>
    <w:rsid w:val="00EF7A03"/>
    <w:rsid w:val="00F00526"/>
    <w:rsid w:val="00F00583"/>
    <w:rsid w:val="00F01D8E"/>
    <w:rsid w:val="00F01EB1"/>
    <w:rsid w:val="00F0228D"/>
    <w:rsid w:val="00F03D94"/>
    <w:rsid w:val="00F05FA5"/>
    <w:rsid w:val="00F06A4C"/>
    <w:rsid w:val="00F078E2"/>
    <w:rsid w:val="00F10D1E"/>
    <w:rsid w:val="00F1251E"/>
    <w:rsid w:val="00F14527"/>
    <w:rsid w:val="00F168F6"/>
    <w:rsid w:val="00F16EA9"/>
    <w:rsid w:val="00F20302"/>
    <w:rsid w:val="00F20BEB"/>
    <w:rsid w:val="00F22F8E"/>
    <w:rsid w:val="00F24B5E"/>
    <w:rsid w:val="00F25EBA"/>
    <w:rsid w:val="00F32382"/>
    <w:rsid w:val="00F33826"/>
    <w:rsid w:val="00F35309"/>
    <w:rsid w:val="00F35632"/>
    <w:rsid w:val="00F35B05"/>
    <w:rsid w:val="00F37B8E"/>
    <w:rsid w:val="00F37C22"/>
    <w:rsid w:val="00F43E03"/>
    <w:rsid w:val="00F453A6"/>
    <w:rsid w:val="00F4626F"/>
    <w:rsid w:val="00F46AB0"/>
    <w:rsid w:val="00F51BF3"/>
    <w:rsid w:val="00F51FC1"/>
    <w:rsid w:val="00F522A7"/>
    <w:rsid w:val="00F556A1"/>
    <w:rsid w:val="00F5578E"/>
    <w:rsid w:val="00F56262"/>
    <w:rsid w:val="00F57118"/>
    <w:rsid w:val="00F57704"/>
    <w:rsid w:val="00F6107E"/>
    <w:rsid w:val="00F62794"/>
    <w:rsid w:val="00F6359C"/>
    <w:rsid w:val="00F65904"/>
    <w:rsid w:val="00F66C09"/>
    <w:rsid w:val="00F70014"/>
    <w:rsid w:val="00F7150B"/>
    <w:rsid w:val="00F7237E"/>
    <w:rsid w:val="00F72480"/>
    <w:rsid w:val="00F736B3"/>
    <w:rsid w:val="00F81147"/>
    <w:rsid w:val="00F83D2B"/>
    <w:rsid w:val="00F8400B"/>
    <w:rsid w:val="00F87135"/>
    <w:rsid w:val="00F9125B"/>
    <w:rsid w:val="00F920DA"/>
    <w:rsid w:val="00F92848"/>
    <w:rsid w:val="00F937CF"/>
    <w:rsid w:val="00F95454"/>
    <w:rsid w:val="00FA23F5"/>
    <w:rsid w:val="00FB0BF8"/>
    <w:rsid w:val="00FB0E05"/>
    <w:rsid w:val="00FB2AB3"/>
    <w:rsid w:val="00FB345E"/>
    <w:rsid w:val="00FB5F20"/>
    <w:rsid w:val="00FB6A4C"/>
    <w:rsid w:val="00FB7023"/>
    <w:rsid w:val="00FC0B2B"/>
    <w:rsid w:val="00FC0EF7"/>
    <w:rsid w:val="00FC1006"/>
    <w:rsid w:val="00FC1077"/>
    <w:rsid w:val="00FC11C1"/>
    <w:rsid w:val="00FC1CAA"/>
    <w:rsid w:val="00FC2F3C"/>
    <w:rsid w:val="00FC41B7"/>
    <w:rsid w:val="00FC5656"/>
    <w:rsid w:val="00FC5E1D"/>
    <w:rsid w:val="00FC67DF"/>
    <w:rsid w:val="00FC6EFC"/>
    <w:rsid w:val="00FD1B89"/>
    <w:rsid w:val="00FD1DFB"/>
    <w:rsid w:val="00FD205A"/>
    <w:rsid w:val="00FD33C2"/>
    <w:rsid w:val="00FD37E4"/>
    <w:rsid w:val="00FD3E24"/>
    <w:rsid w:val="00FD45AC"/>
    <w:rsid w:val="00FD5084"/>
    <w:rsid w:val="00FD5ED8"/>
    <w:rsid w:val="00FE041A"/>
    <w:rsid w:val="00FE192A"/>
    <w:rsid w:val="00FE25B9"/>
    <w:rsid w:val="00FE2D29"/>
    <w:rsid w:val="00FE4B7E"/>
    <w:rsid w:val="00FE7C70"/>
    <w:rsid w:val="00FE7F21"/>
    <w:rsid w:val="00FF18BA"/>
    <w:rsid w:val="00FF1F1C"/>
    <w:rsid w:val="00FF2BD6"/>
    <w:rsid w:val="00FF6191"/>
    <w:rsid w:val="01514167"/>
    <w:rsid w:val="0270686F"/>
    <w:rsid w:val="028D1C67"/>
    <w:rsid w:val="02CC3024"/>
    <w:rsid w:val="02FA4CA6"/>
    <w:rsid w:val="032B51F0"/>
    <w:rsid w:val="037C2CF1"/>
    <w:rsid w:val="03A42F5A"/>
    <w:rsid w:val="03D563A3"/>
    <w:rsid w:val="04391BFD"/>
    <w:rsid w:val="046F384F"/>
    <w:rsid w:val="04BE4857"/>
    <w:rsid w:val="04C31C23"/>
    <w:rsid w:val="05492A09"/>
    <w:rsid w:val="0568505A"/>
    <w:rsid w:val="059C7552"/>
    <w:rsid w:val="05D33E40"/>
    <w:rsid w:val="061161C3"/>
    <w:rsid w:val="06217026"/>
    <w:rsid w:val="06336202"/>
    <w:rsid w:val="066660D8"/>
    <w:rsid w:val="06C24072"/>
    <w:rsid w:val="06CA63B4"/>
    <w:rsid w:val="071F4910"/>
    <w:rsid w:val="071F4BD4"/>
    <w:rsid w:val="07BF52EF"/>
    <w:rsid w:val="07C6515C"/>
    <w:rsid w:val="08B1362F"/>
    <w:rsid w:val="08B25EA3"/>
    <w:rsid w:val="08B706F7"/>
    <w:rsid w:val="095357D4"/>
    <w:rsid w:val="09556B95"/>
    <w:rsid w:val="096A026D"/>
    <w:rsid w:val="0973354A"/>
    <w:rsid w:val="09D81E97"/>
    <w:rsid w:val="09E22338"/>
    <w:rsid w:val="0A00082C"/>
    <w:rsid w:val="0A060167"/>
    <w:rsid w:val="0A29138C"/>
    <w:rsid w:val="0A761433"/>
    <w:rsid w:val="0BC92D1F"/>
    <w:rsid w:val="0CFA6A41"/>
    <w:rsid w:val="0D407132"/>
    <w:rsid w:val="0DE54A67"/>
    <w:rsid w:val="0E181FA0"/>
    <w:rsid w:val="0E646E38"/>
    <w:rsid w:val="0E83422A"/>
    <w:rsid w:val="0E9C0E7D"/>
    <w:rsid w:val="0EB977F0"/>
    <w:rsid w:val="0EE051F1"/>
    <w:rsid w:val="0EE23BA5"/>
    <w:rsid w:val="0EE42D1C"/>
    <w:rsid w:val="0FF4421D"/>
    <w:rsid w:val="105C2769"/>
    <w:rsid w:val="10737B23"/>
    <w:rsid w:val="1089272D"/>
    <w:rsid w:val="11031B1E"/>
    <w:rsid w:val="115256FE"/>
    <w:rsid w:val="11CF6916"/>
    <w:rsid w:val="12243780"/>
    <w:rsid w:val="123376B5"/>
    <w:rsid w:val="12672F3D"/>
    <w:rsid w:val="12D26A15"/>
    <w:rsid w:val="13272794"/>
    <w:rsid w:val="133F1DBD"/>
    <w:rsid w:val="13565C8C"/>
    <w:rsid w:val="137D4E6F"/>
    <w:rsid w:val="13812CC7"/>
    <w:rsid w:val="139F11B6"/>
    <w:rsid w:val="14313AB6"/>
    <w:rsid w:val="14EC447B"/>
    <w:rsid w:val="152979CF"/>
    <w:rsid w:val="156656E5"/>
    <w:rsid w:val="156A7ED5"/>
    <w:rsid w:val="156C10A2"/>
    <w:rsid w:val="15995DD5"/>
    <w:rsid w:val="15BA05AA"/>
    <w:rsid w:val="15C8268E"/>
    <w:rsid w:val="15D87635"/>
    <w:rsid w:val="16035C27"/>
    <w:rsid w:val="16612536"/>
    <w:rsid w:val="1675160A"/>
    <w:rsid w:val="16E13C41"/>
    <w:rsid w:val="17387C51"/>
    <w:rsid w:val="18B012EF"/>
    <w:rsid w:val="19CE313C"/>
    <w:rsid w:val="19D35B32"/>
    <w:rsid w:val="1A10336F"/>
    <w:rsid w:val="1A7B5502"/>
    <w:rsid w:val="1AB53523"/>
    <w:rsid w:val="1BB33EDB"/>
    <w:rsid w:val="1BD061B0"/>
    <w:rsid w:val="1BD61C4D"/>
    <w:rsid w:val="1BD925B1"/>
    <w:rsid w:val="1BD941F1"/>
    <w:rsid w:val="1BE51C24"/>
    <w:rsid w:val="1CD038E4"/>
    <w:rsid w:val="1D1E58D1"/>
    <w:rsid w:val="1D821640"/>
    <w:rsid w:val="1D8E6B61"/>
    <w:rsid w:val="1E2A4F7C"/>
    <w:rsid w:val="1ED70D2F"/>
    <w:rsid w:val="1F3E068E"/>
    <w:rsid w:val="1F616A1C"/>
    <w:rsid w:val="20181CA2"/>
    <w:rsid w:val="20296FF1"/>
    <w:rsid w:val="205630F0"/>
    <w:rsid w:val="20810BFF"/>
    <w:rsid w:val="209A35F9"/>
    <w:rsid w:val="20EB126D"/>
    <w:rsid w:val="21000287"/>
    <w:rsid w:val="21BD0440"/>
    <w:rsid w:val="224246B9"/>
    <w:rsid w:val="22812652"/>
    <w:rsid w:val="2411483D"/>
    <w:rsid w:val="241229D6"/>
    <w:rsid w:val="250052AB"/>
    <w:rsid w:val="250C2000"/>
    <w:rsid w:val="25D64A2F"/>
    <w:rsid w:val="262772D8"/>
    <w:rsid w:val="265E26F7"/>
    <w:rsid w:val="26A526DC"/>
    <w:rsid w:val="27EA6666"/>
    <w:rsid w:val="280E1E82"/>
    <w:rsid w:val="28802DC3"/>
    <w:rsid w:val="28A31A75"/>
    <w:rsid w:val="29341449"/>
    <w:rsid w:val="297B139C"/>
    <w:rsid w:val="298657F3"/>
    <w:rsid w:val="29980ADF"/>
    <w:rsid w:val="29C93487"/>
    <w:rsid w:val="2A280EAD"/>
    <w:rsid w:val="2A425C22"/>
    <w:rsid w:val="2A5E6256"/>
    <w:rsid w:val="2A797F64"/>
    <w:rsid w:val="2A944C8E"/>
    <w:rsid w:val="2AF11DB9"/>
    <w:rsid w:val="2AF84B7E"/>
    <w:rsid w:val="2AFD4987"/>
    <w:rsid w:val="2B1E304D"/>
    <w:rsid w:val="2B3A0E49"/>
    <w:rsid w:val="2B484F93"/>
    <w:rsid w:val="2B533598"/>
    <w:rsid w:val="2BB46F1D"/>
    <w:rsid w:val="2C036605"/>
    <w:rsid w:val="2C6D00AD"/>
    <w:rsid w:val="2D70787B"/>
    <w:rsid w:val="2DF0694D"/>
    <w:rsid w:val="2DFD2DAF"/>
    <w:rsid w:val="2E55175B"/>
    <w:rsid w:val="2E9C3E30"/>
    <w:rsid w:val="2EEC3F03"/>
    <w:rsid w:val="2EFD683C"/>
    <w:rsid w:val="2F7C7AFB"/>
    <w:rsid w:val="2FEC0528"/>
    <w:rsid w:val="3060244D"/>
    <w:rsid w:val="30E923F3"/>
    <w:rsid w:val="317F49CC"/>
    <w:rsid w:val="31B5579D"/>
    <w:rsid w:val="327E6A9E"/>
    <w:rsid w:val="32A16C52"/>
    <w:rsid w:val="32BC2437"/>
    <w:rsid w:val="32D27253"/>
    <w:rsid w:val="33411A77"/>
    <w:rsid w:val="335039CF"/>
    <w:rsid w:val="33805C9E"/>
    <w:rsid w:val="33EF15F3"/>
    <w:rsid w:val="33EF7800"/>
    <w:rsid w:val="343A581A"/>
    <w:rsid w:val="34D81308"/>
    <w:rsid w:val="34F4232B"/>
    <w:rsid w:val="35E80D59"/>
    <w:rsid w:val="366E6BC6"/>
    <w:rsid w:val="36E8316A"/>
    <w:rsid w:val="37564BB1"/>
    <w:rsid w:val="376E08C8"/>
    <w:rsid w:val="382A367C"/>
    <w:rsid w:val="38DD48F5"/>
    <w:rsid w:val="3911775D"/>
    <w:rsid w:val="3BCE1D89"/>
    <w:rsid w:val="3C025713"/>
    <w:rsid w:val="3C8B5270"/>
    <w:rsid w:val="3C940DD1"/>
    <w:rsid w:val="3CCF0C32"/>
    <w:rsid w:val="3CED7D2E"/>
    <w:rsid w:val="3CF50F49"/>
    <w:rsid w:val="3D406863"/>
    <w:rsid w:val="3D694C63"/>
    <w:rsid w:val="3DAC3D0F"/>
    <w:rsid w:val="3DF97937"/>
    <w:rsid w:val="3DFB147F"/>
    <w:rsid w:val="3E964963"/>
    <w:rsid w:val="3ECD2EEA"/>
    <w:rsid w:val="3ED57EC1"/>
    <w:rsid w:val="3EE00CED"/>
    <w:rsid w:val="3F1A42D0"/>
    <w:rsid w:val="3F236973"/>
    <w:rsid w:val="3F34632C"/>
    <w:rsid w:val="3FA673E2"/>
    <w:rsid w:val="402F795A"/>
    <w:rsid w:val="409A301E"/>
    <w:rsid w:val="40CF6DEC"/>
    <w:rsid w:val="418A4E8B"/>
    <w:rsid w:val="41B9303B"/>
    <w:rsid w:val="42E937C6"/>
    <w:rsid w:val="43584181"/>
    <w:rsid w:val="44630D53"/>
    <w:rsid w:val="45C70878"/>
    <w:rsid w:val="46C72AC4"/>
    <w:rsid w:val="46D70238"/>
    <w:rsid w:val="478E7942"/>
    <w:rsid w:val="47B45873"/>
    <w:rsid w:val="47C0450C"/>
    <w:rsid w:val="47DF7F53"/>
    <w:rsid w:val="480613A4"/>
    <w:rsid w:val="48117C41"/>
    <w:rsid w:val="486B5E33"/>
    <w:rsid w:val="48D20A9A"/>
    <w:rsid w:val="49444FF0"/>
    <w:rsid w:val="49972558"/>
    <w:rsid w:val="49A858C7"/>
    <w:rsid w:val="4A9961AC"/>
    <w:rsid w:val="4B327F90"/>
    <w:rsid w:val="4BF74ED8"/>
    <w:rsid w:val="4CD52A6E"/>
    <w:rsid w:val="4D0F56F7"/>
    <w:rsid w:val="4D6D7E6A"/>
    <w:rsid w:val="4D9A7070"/>
    <w:rsid w:val="4DA35B76"/>
    <w:rsid w:val="4DD04D43"/>
    <w:rsid w:val="4DF76D31"/>
    <w:rsid w:val="4E213692"/>
    <w:rsid w:val="4EBC4CF2"/>
    <w:rsid w:val="4F5C33FB"/>
    <w:rsid w:val="4FE2029D"/>
    <w:rsid w:val="501E718E"/>
    <w:rsid w:val="50490522"/>
    <w:rsid w:val="516F66B9"/>
    <w:rsid w:val="517F5754"/>
    <w:rsid w:val="51C51C89"/>
    <w:rsid w:val="52ED3ABB"/>
    <w:rsid w:val="52F107B8"/>
    <w:rsid w:val="53194A9E"/>
    <w:rsid w:val="531F1139"/>
    <w:rsid w:val="53396E91"/>
    <w:rsid w:val="540F4777"/>
    <w:rsid w:val="54120D34"/>
    <w:rsid w:val="54420CBA"/>
    <w:rsid w:val="54BE47E5"/>
    <w:rsid w:val="54E27D70"/>
    <w:rsid w:val="550611A5"/>
    <w:rsid w:val="559A0445"/>
    <w:rsid w:val="56A3539F"/>
    <w:rsid w:val="56C467A8"/>
    <w:rsid w:val="57A222A5"/>
    <w:rsid w:val="57F66044"/>
    <w:rsid w:val="582B6889"/>
    <w:rsid w:val="583F3BAE"/>
    <w:rsid w:val="588E2720"/>
    <w:rsid w:val="58CF438A"/>
    <w:rsid w:val="58E467E4"/>
    <w:rsid w:val="596671F9"/>
    <w:rsid w:val="598454B4"/>
    <w:rsid w:val="59EC4526"/>
    <w:rsid w:val="5AA917FE"/>
    <w:rsid w:val="5AF116BD"/>
    <w:rsid w:val="5C192CC0"/>
    <w:rsid w:val="5D992DAA"/>
    <w:rsid w:val="5D9D1EED"/>
    <w:rsid w:val="5E6F1FEC"/>
    <w:rsid w:val="5ED13DE3"/>
    <w:rsid w:val="5EE95FB1"/>
    <w:rsid w:val="5FF01DED"/>
    <w:rsid w:val="5FF311B4"/>
    <w:rsid w:val="604638E0"/>
    <w:rsid w:val="604B01DD"/>
    <w:rsid w:val="6056657B"/>
    <w:rsid w:val="607C367A"/>
    <w:rsid w:val="61277C44"/>
    <w:rsid w:val="61F607D9"/>
    <w:rsid w:val="622D3505"/>
    <w:rsid w:val="623C0D1A"/>
    <w:rsid w:val="624706E9"/>
    <w:rsid w:val="628F6636"/>
    <w:rsid w:val="63021D41"/>
    <w:rsid w:val="635263D8"/>
    <w:rsid w:val="63923DF6"/>
    <w:rsid w:val="63B347E7"/>
    <w:rsid w:val="6411447E"/>
    <w:rsid w:val="643F0D73"/>
    <w:rsid w:val="64835103"/>
    <w:rsid w:val="64845E40"/>
    <w:rsid w:val="64B06E83"/>
    <w:rsid w:val="64F10A06"/>
    <w:rsid w:val="64F60999"/>
    <w:rsid w:val="650141B9"/>
    <w:rsid w:val="65582A92"/>
    <w:rsid w:val="655F349E"/>
    <w:rsid w:val="6570237E"/>
    <w:rsid w:val="658211ED"/>
    <w:rsid w:val="65A015C9"/>
    <w:rsid w:val="66213170"/>
    <w:rsid w:val="67272967"/>
    <w:rsid w:val="67384054"/>
    <w:rsid w:val="676376B3"/>
    <w:rsid w:val="682E640B"/>
    <w:rsid w:val="68857E17"/>
    <w:rsid w:val="689C4BF4"/>
    <w:rsid w:val="68C83A2C"/>
    <w:rsid w:val="68D4319B"/>
    <w:rsid w:val="68E34FA8"/>
    <w:rsid w:val="69093056"/>
    <w:rsid w:val="69511271"/>
    <w:rsid w:val="69B432B9"/>
    <w:rsid w:val="6A8D0B0C"/>
    <w:rsid w:val="6AC9503D"/>
    <w:rsid w:val="6B2655DF"/>
    <w:rsid w:val="6BB57FC9"/>
    <w:rsid w:val="6BBD70B6"/>
    <w:rsid w:val="6BD6583E"/>
    <w:rsid w:val="6BF523CD"/>
    <w:rsid w:val="6BF83512"/>
    <w:rsid w:val="6C386013"/>
    <w:rsid w:val="6C693F86"/>
    <w:rsid w:val="6C6E5F4D"/>
    <w:rsid w:val="6C873F20"/>
    <w:rsid w:val="6CC81EA4"/>
    <w:rsid w:val="6CD1290A"/>
    <w:rsid w:val="6D515B2D"/>
    <w:rsid w:val="6D5F54B8"/>
    <w:rsid w:val="6D9464E6"/>
    <w:rsid w:val="6DA77E27"/>
    <w:rsid w:val="6E860FB1"/>
    <w:rsid w:val="703C77B9"/>
    <w:rsid w:val="70435AED"/>
    <w:rsid w:val="704E5DA8"/>
    <w:rsid w:val="71627BBC"/>
    <w:rsid w:val="73593277"/>
    <w:rsid w:val="73912164"/>
    <w:rsid w:val="73CF2113"/>
    <w:rsid w:val="740676D5"/>
    <w:rsid w:val="74DF0E22"/>
    <w:rsid w:val="751F43EA"/>
    <w:rsid w:val="752630BA"/>
    <w:rsid w:val="754814F0"/>
    <w:rsid w:val="75940AB4"/>
    <w:rsid w:val="75B63FB7"/>
    <w:rsid w:val="76674745"/>
    <w:rsid w:val="76A966FD"/>
    <w:rsid w:val="77196BA9"/>
    <w:rsid w:val="77642B72"/>
    <w:rsid w:val="77A17922"/>
    <w:rsid w:val="77FD35F0"/>
    <w:rsid w:val="781B24FE"/>
    <w:rsid w:val="78462278"/>
    <w:rsid w:val="78B90C9C"/>
    <w:rsid w:val="78BA5863"/>
    <w:rsid w:val="78E712E2"/>
    <w:rsid w:val="790209F1"/>
    <w:rsid w:val="799B07F1"/>
    <w:rsid w:val="79AF41AF"/>
    <w:rsid w:val="79D44B82"/>
    <w:rsid w:val="79F66357"/>
    <w:rsid w:val="7A062E76"/>
    <w:rsid w:val="7A075ECC"/>
    <w:rsid w:val="7A0E4D2E"/>
    <w:rsid w:val="7A721A4A"/>
    <w:rsid w:val="7A8D454C"/>
    <w:rsid w:val="7AC229A7"/>
    <w:rsid w:val="7B252096"/>
    <w:rsid w:val="7B3D416D"/>
    <w:rsid w:val="7B80168C"/>
    <w:rsid w:val="7B80792E"/>
    <w:rsid w:val="7BFF75C2"/>
    <w:rsid w:val="7C1525EF"/>
    <w:rsid w:val="7C815EA1"/>
    <w:rsid w:val="7CC177AA"/>
    <w:rsid w:val="7D237C1D"/>
    <w:rsid w:val="7D4403C1"/>
    <w:rsid w:val="7DF12F39"/>
    <w:rsid w:val="7EF31736"/>
    <w:rsid w:val="7F1E73AC"/>
    <w:rsid w:val="7F4734E9"/>
    <w:rsid w:val="7FF502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22"/>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right"/>
    </w:pPr>
    <w:rPr>
      <w:sz w:val="18"/>
      <w:szCs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4"/>
    <w:qFormat/>
    <w:uiPriority w:val="1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line number"/>
    <w:basedOn w:val="13"/>
    <w:semiHidden/>
    <w:unhideWhenUsed/>
    <w:qFormat/>
    <w:uiPriority w:val="99"/>
  </w:style>
  <w:style w:type="character" w:customStyle="1" w:styleId="15">
    <w:name w:val="页眉 Char"/>
    <w:basedOn w:val="13"/>
    <w:link w:val="6"/>
    <w:qFormat/>
    <w:uiPriority w:val="99"/>
    <w:rPr>
      <w:sz w:val="18"/>
      <w:szCs w:val="18"/>
    </w:rPr>
  </w:style>
  <w:style w:type="character" w:customStyle="1" w:styleId="16">
    <w:name w:val="页脚 Char"/>
    <w:basedOn w:val="13"/>
    <w:link w:val="5"/>
    <w:qFormat/>
    <w:uiPriority w:val="99"/>
    <w:rPr>
      <w:sz w:val="18"/>
      <w:szCs w:val="18"/>
    </w:rPr>
  </w:style>
  <w:style w:type="character" w:customStyle="1" w:styleId="17">
    <w:name w:val="批注框文本 Char"/>
    <w:basedOn w:val="13"/>
    <w:link w:val="4"/>
    <w:semiHidden/>
    <w:qFormat/>
    <w:uiPriority w:val="99"/>
    <w:rPr>
      <w:sz w:val="18"/>
      <w:szCs w:val="18"/>
    </w:rPr>
  </w:style>
  <w:style w:type="paragraph" w:customStyle="1" w:styleId="18">
    <w:name w:val="段"/>
    <w:link w:val="1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9">
    <w:name w:val="段 Char"/>
    <w:link w:val="18"/>
    <w:qFormat/>
    <w:uiPriority w:val="0"/>
    <w:rPr>
      <w:rFonts w:ascii="宋体" w:hAnsi="Times New Roman" w:eastAsia="宋体" w:cs="Times New Roman"/>
      <w:kern w:val="0"/>
      <w:szCs w:val="20"/>
    </w:rPr>
  </w:style>
  <w:style w:type="paragraph" w:customStyle="1" w:styleId="20">
    <w:name w:val="前言、引言标题"/>
    <w:next w:val="1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21">
    <w:name w:val="font01"/>
    <w:basedOn w:val="13"/>
    <w:qFormat/>
    <w:uiPriority w:val="0"/>
    <w:rPr>
      <w:rFonts w:hint="eastAsia" w:ascii="宋体" w:hAnsi="宋体" w:eastAsia="宋体" w:cs="宋体"/>
      <w:color w:val="000000"/>
      <w:sz w:val="22"/>
      <w:szCs w:val="22"/>
      <w:u w:val="none"/>
    </w:rPr>
  </w:style>
  <w:style w:type="character" w:customStyle="1" w:styleId="22">
    <w:name w:val="日期 Char"/>
    <w:basedOn w:val="13"/>
    <w:link w:val="3"/>
    <w:semiHidden/>
    <w:qFormat/>
    <w:uiPriority w:val="99"/>
    <w:rPr>
      <w:rFonts w:asciiTheme="minorHAnsi" w:hAnsiTheme="minorHAnsi" w:eastAsiaTheme="minorEastAsia" w:cstheme="minorBidi"/>
      <w:kern w:val="2"/>
      <w:sz w:val="21"/>
      <w:szCs w:val="22"/>
    </w:rPr>
  </w:style>
  <w:style w:type="paragraph" w:styleId="23">
    <w:name w:val="List Paragraph"/>
    <w:basedOn w:val="1"/>
    <w:unhideWhenUsed/>
    <w:qFormat/>
    <w:uiPriority w:val="99"/>
    <w:pPr>
      <w:ind w:firstLine="420" w:firstLineChars="200"/>
    </w:pPr>
  </w:style>
  <w:style w:type="character" w:customStyle="1" w:styleId="24">
    <w:name w:val="标题 Char"/>
    <w:basedOn w:val="13"/>
    <w:link w:val="10"/>
    <w:qFormat/>
    <w:uiPriority w:val="10"/>
    <w:rPr>
      <w:rFonts w:asciiTheme="majorHAnsi" w:hAnsiTheme="majorHAnsi" w:cstheme="majorBidi"/>
      <w:b/>
      <w:bCs/>
      <w:kern w:val="2"/>
      <w:sz w:val="32"/>
      <w:szCs w:val="32"/>
    </w:rPr>
  </w:style>
  <w:style w:type="character" w:customStyle="1" w:styleId="25">
    <w:name w:val="标题 3 Char"/>
    <w:basedOn w:val="13"/>
    <w:link w:val="2"/>
    <w:qFormat/>
    <w:uiPriority w:val="9"/>
    <w:rPr>
      <w:rFonts w:ascii="宋体" w:hAnsi="宋体" w:cs="宋体"/>
      <w:b/>
      <w:bCs/>
      <w:sz w:val="27"/>
      <w:szCs w:val="27"/>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03F49-2541-4299-991C-01AC4AA577BF}">
  <ds:schemaRefs/>
</ds:datastoreItem>
</file>

<file path=docProps/app.xml><?xml version="1.0" encoding="utf-8"?>
<Properties xmlns="http://schemas.openxmlformats.org/officeDocument/2006/extended-properties" xmlns:vt="http://schemas.openxmlformats.org/officeDocument/2006/docPropsVTypes">
  <Template>Normal</Template>
  <Company>kmzbo</Company>
  <Pages>34</Pages>
  <Words>3053</Words>
  <Characters>17405</Characters>
  <Lines>145</Lines>
  <Paragraphs>40</Paragraphs>
  <TotalTime>9</TotalTime>
  <ScaleCrop>false</ScaleCrop>
  <LinksUpToDate>false</LinksUpToDate>
  <CharactersWithSpaces>20418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2022-06-21T03:30:00Z</dcterms:created>
  <dc:creator>ppuser</dc:creator>
  <cp:lastModifiedBy>郭虹燕</cp:lastModifiedBy>
  <cp:lastPrinted>2022-03-29T02:48:00Z</cp:lastPrinted>
  <dcterms:modified xsi:type="dcterms:W3CDTF">2022-06-22T03:56:12Z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03B491C8261D4072BECE25CAD309097C</vt:lpwstr>
  </property>
</Properties>
</file>