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792" w:tblpY="1764"/>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6"/>
        <w:gridCol w:w="141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rPr>
                <w:szCs w:val="24"/>
              </w:rPr>
            </w:pPr>
            <w:bookmarkStart w:id="100" w:name="_GoBack"/>
            <w:bookmarkEnd w:id="100"/>
            <w:r>
              <w:rPr>
                <w:rFonts w:ascii="Times New Roman" w:hAnsi="Times New Roman" w:eastAsia="宋体" w:cs="Times New Roman"/>
                <w:sz w:val="24"/>
                <w:szCs w:val="32"/>
              </w:rPr>
              <w:t>UDC</w:t>
            </w:r>
          </w:p>
        </w:tc>
        <w:tc>
          <w:tcPr>
            <w:tcW w:w="1687" w:type="dxa"/>
            <w:vMerge w:val="restart"/>
            <w:tcBorders>
              <w:tl2br w:val="nil"/>
              <w:tr2bl w:val="nil"/>
            </w:tcBorders>
          </w:tcPr>
          <w:p>
            <w:pPr>
              <w:spacing w:line="720" w:lineRule="auto"/>
              <w:ind w:left="525" w:leftChars="250"/>
              <w:rPr>
                <w:szCs w:val="24"/>
              </w:rPr>
            </w:pPr>
            <w:r>
              <w:rPr>
                <w:rFonts w:ascii="Times New Roman" w:hAnsi="Times New Roman" w:cs="Times New Roman"/>
                <w:b/>
                <w:sz w:val="44"/>
                <w:szCs w:val="44"/>
              </w:rPr>
              <w:t>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ind w:left="525" w:leftChars="250"/>
              <w:jc w:val="center"/>
              <w:rPr>
                <w:b/>
                <w:sz w:val="72"/>
                <w:szCs w:val="72"/>
              </w:rPr>
            </w:pPr>
            <w:r>
              <w:rPr>
                <w:b/>
                <w:sz w:val="72"/>
                <w:szCs w:val="72"/>
              </w:rPr>
              <w:t>云南省地方标准</w:t>
            </w:r>
          </w:p>
        </w:tc>
        <w:tc>
          <w:tcPr>
            <w:tcW w:w="1687" w:type="dxa"/>
            <w:vMerge w:val="continue"/>
            <w:tcBorders>
              <w:tl2br w:val="nil"/>
              <w:tr2bl w:val="nil"/>
            </w:tcBorders>
          </w:tcPr>
          <w:p>
            <w:pPr>
              <w:ind w:left="525" w:leftChars="250"/>
              <w:jc w:val="center"/>
              <w:rPr>
                <w:b/>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26" w:type="dxa"/>
            <w:tcBorders>
              <w:tl2br w:val="nil"/>
              <w:tr2bl w:val="nil"/>
            </w:tcBorders>
          </w:tcPr>
          <w:p>
            <w:pPr>
              <w:wordWrap w:val="0"/>
              <w:ind w:left="525" w:leftChars="250"/>
              <w:jc w:val="right"/>
              <w:rPr>
                <w:sz w:val="28"/>
                <w:szCs w:val="28"/>
              </w:rPr>
            </w:pPr>
          </w:p>
        </w:tc>
        <w:tc>
          <w:tcPr>
            <w:tcW w:w="3102" w:type="dxa"/>
            <w:gridSpan w:val="2"/>
            <w:tcBorders>
              <w:tl2br w:val="nil"/>
              <w:tr2bl w:val="nil"/>
            </w:tcBorders>
          </w:tcPr>
          <w:p>
            <w:pPr>
              <w:wordWrap w:val="0"/>
              <w:rPr>
                <w:sz w:val="28"/>
                <w:szCs w:val="28"/>
              </w:rPr>
            </w:pPr>
            <w:r>
              <w:rPr>
                <w:rFonts w:ascii="Times New Roman" w:hAnsi="Times New Roman" w:cs="Times New Roman"/>
                <w:sz w:val="28"/>
                <w:szCs w:val="28"/>
              </w:rPr>
              <w:t>DB53/T XXX</w:t>
            </w:r>
            <w:r>
              <w:rPr>
                <w:rFonts w:ascii="Times New Roman" w:hAnsi="Times New Roman" w:eastAsia="宋体" w:cs="Times New Roman"/>
                <w:sz w:val="28"/>
                <w:szCs w:val="28"/>
              </w:rPr>
              <w:t>—</w:t>
            </w:r>
            <w:r>
              <w:rPr>
                <w:rFonts w:hint="eastAsia" w:ascii="Times New Roman" w:hAnsi="Times New Roman" w:cs="Times New Roman"/>
                <w:sz w:val="28"/>
                <w:szCs w:val="28"/>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426" w:type="dxa"/>
            <w:tcBorders>
              <w:tl2br w:val="nil"/>
              <w:tr2bl w:val="nil"/>
            </w:tcBorders>
          </w:tcPr>
          <w:p>
            <w:pPr>
              <w:rPr>
                <w:szCs w:val="24"/>
              </w:rPr>
            </w:pPr>
            <w:r>
              <w:rPr>
                <w:rFonts w:ascii="Times New Roman" w:hAnsi="Times New Roman" w:eastAsia="宋体" w:cs="Times New Roman"/>
                <w:sz w:val="24"/>
                <w:szCs w:val="32"/>
              </w:rPr>
              <w:t>P</w:t>
            </w:r>
          </w:p>
        </w:tc>
        <w:tc>
          <w:tcPr>
            <w:tcW w:w="3102" w:type="dxa"/>
            <w:gridSpan w:val="2"/>
            <w:tcBorders>
              <w:tl2br w:val="nil"/>
              <w:tr2bl w:val="nil"/>
            </w:tcBorders>
          </w:tcPr>
          <w:p>
            <w:pPr>
              <w:rPr>
                <w:szCs w:val="24"/>
              </w:rPr>
            </w:pPr>
            <w:r>
              <w:rPr>
                <w:rFonts w:ascii="Times New Roman" w:hAnsi="Times New Roman" w:cs="Times New Roman"/>
                <w:sz w:val="24"/>
                <w:szCs w:val="24"/>
              </w:rPr>
              <w:t>备</w:t>
            </w:r>
            <w:r>
              <w:rPr>
                <w:rFonts w:ascii="Times New Roman" w:hAnsi="Times New Roman" w:eastAsia="宋体" w:cs="Times New Roman"/>
                <w:sz w:val="24"/>
                <w:szCs w:val="24"/>
              </w:rPr>
              <w:t>案号</w:t>
            </w:r>
          </w:p>
        </w:tc>
      </w:tr>
    </w:tbl>
    <w:p>
      <w:pPr>
        <w:jc w:val="center"/>
        <w:rPr>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-1160145</wp:posOffset>
                </wp:positionH>
                <wp:positionV relativeFrom="paragraph">
                  <wp:posOffset>1586230</wp:posOffset>
                </wp:positionV>
                <wp:extent cx="7592695" cy="20320"/>
                <wp:effectExtent l="0" t="4445" r="8255" b="13335"/>
                <wp:wrapNone/>
                <wp:docPr id="1" name="直线 2"/>
                <wp:cNvGraphicFramePr/>
                <a:graphic xmlns:a="http://schemas.openxmlformats.org/drawingml/2006/main">
                  <a:graphicData uri="http://schemas.microsoft.com/office/word/2010/wordprocessingShape">
                    <wps:wsp>
                      <wps:cNvCnPr/>
                      <wps:spPr>
                        <a:xfrm flipV="1">
                          <a:off x="41910" y="2500630"/>
                          <a:ext cx="759269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1.35pt;margin-top:124.9pt;height:1.6pt;width:597.85pt;z-index:251660288;mso-width-relative:page;mso-height-relative:page;" filled="f" stroked="t" coordsize="21600,21600" o:gfxdata="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guG&#10;n9oAAAANAQAADwAAAAAAAAABACAAAAAiAAAAZHJzL2Rvd25yZXYueG1sUEsBAhQAFAAAAAgAh07i&#10;QA1fhBDnAQAAswMAAA4AAAAAAAAAAQAgAAAAKQEAAGRycy9lMm9Eb2MueG1sUEsFBgAAAAAGAAYA&#10;WQEAAIIFAAAAAA==&#10;">
                <v:fill on="f" focussize="0,0"/>
                <v:stroke color="#000000" joinstyle="round"/>
                <v:imagedata o:title=""/>
                <o:lock v:ext="edit" aspectratio="f"/>
              </v:line>
            </w:pict>
          </mc:Fallback>
        </mc:AlternateContent>
      </w:r>
    </w:p>
    <w:p>
      <w:pPr>
        <w:jc w:val="center"/>
        <w:rPr>
          <w:rFonts w:ascii="黑体" w:hAnsi="黑体" w:eastAsia="黑体"/>
          <w:b/>
          <w:sz w:val="36"/>
          <w:szCs w:val="36"/>
        </w:rPr>
      </w:pPr>
      <w:r>
        <w:rPr>
          <w:rFonts w:hint="eastAsia" w:ascii="黑体" w:hAnsi="黑体" w:eastAsia="黑体"/>
          <w:b/>
          <w:sz w:val="36"/>
          <w:szCs w:val="36"/>
        </w:rPr>
        <w:t>燃气运营企业安全管理标准</w:t>
      </w:r>
    </w:p>
    <w:p>
      <w:pPr>
        <w:jc w:val="center"/>
        <w:rPr>
          <w:rFonts w:ascii="黑体" w:hAnsi="黑体" w:eastAsia="黑体"/>
          <w:b/>
          <w:sz w:val="36"/>
          <w:szCs w:val="36"/>
        </w:rPr>
      </w:pPr>
      <w:r>
        <w:rPr>
          <w:rFonts w:hint="eastAsia" w:ascii="黑体" w:hAnsi="黑体" w:eastAsia="黑体"/>
          <w:b/>
          <w:sz w:val="36"/>
          <w:szCs w:val="36"/>
        </w:rPr>
        <w:t>第</w:t>
      </w:r>
      <w:r>
        <w:rPr>
          <w:rFonts w:ascii="黑体" w:hAnsi="黑体" w:eastAsia="黑体" w:cs="Times New Roman"/>
          <w:b/>
          <w:sz w:val="36"/>
          <w:szCs w:val="36"/>
        </w:rPr>
        <w:t>1</w:t>
      </w:r>
      <w:r>
        <w:rPr>
          <w:rFonts w:hint="eastAsia" w:ascii="黑体" w:hAnsi="黑体" w:eastAsia="黑体"/>
          <w:b/>
          <w:sz w:val="36"/>
          <w:szCs w:val="36"/>
        </w:rPr>
        <w:t>部分：液化石油气运营企业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atLeast"/>
        <w:jc w:val="center"/>
        <w:rPr>
          <w:rFonts w:ascii="Times New Roman" w:hAnsi="Times New Roman" w:cs="Times New Roman"/>
          <w:b/>
          <w:sz w:val="24"/>
          <w:szCs w:val="24"/>
        </w:rPr>
      </w:pPr>
      <w:r>
        <w:rPr>
          <w:rFonts w:ascii="Times New Roman" w:hAnsi="Times New Roman" w:cs="Times New Roman"/>
          <w:b/>
          <w:sz w:val="24"/>
          <w:szCs w:val="24"/>
        </w:rPr>
        <w:t>Part 1: LPG Operating Enterprises</w:t>
      </w:r>
    </w:p>
    <w:p>
      <w:pPr>
        <w:spacing w:line="400" w:lineRule="atLeast"/>
        <w:jc w:val="center"/>
        <w:rPr>
          <w:sz w:val="24"/>
          <w:szCs w:val="24"/>
        </w:rPr>
      </w:pPr>
      <w:r>
        <w:rPr>
          <w:rFonts w:hint="eastAsia"/>
          <w:sz w:val="24"/>
          <w:szCs w:val="24"/>
        </w:rPr>
        <w:t>（征求意见稿）</w:t>
      </w:r>
    </w:p>
    <w:p>
      <w:pPr>
        <w:jc w:val="center"/>
        <w:rPr>
          <w:sz w:val="44"/>
          <w:szCs w:val="44"/>
        </w:rPr>
      </w:pPr>
    </w:p>
    <w:p>
      <w:pPr>
        <w:jc w:val="center"/>
        <w:rPr>
          <w:sz w:val="44"/>
          <w:szCs w:val="44"/>
        </w:rPr>
      </w:pPr>
    </w:p>
    <w:p>
      <w:pPr>
        <w:rPr>
          <w:sz w:val="44"/>
          <w:szCs w:val="44"/>
        </w:rPr>
      </w:pPr>
    </w:p>
    <w:p>
      <w:pPr>
        <w:jc w:val="center"/>
        <w:rPr>
          <w:sz w:val="44"/>
          <w:szCs w:val="44"/>
        </w:rPr>
      </w:pPr>
    </w:p>
    <w:tbl>
      <w:tblPr>
        <w:tblStyle w:val="12"/>
        <w:tblW w:w="852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419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Pr>
          <w:p>
            <w:pPr>
              <w:rPr>
                <w:sz w:val="44"/>
                <w:szCs w:val="44"/>
              </w:rPr>
            </w:pPr>
          </w:p>
        </w:tc>
        <w:tc>
          <w:tcPr>
            <w:tcW w:w="4193" w:type="dxa"/>
          </w:tcPr>
          <w:p>
            <w:pPr>
              <w:rPr>
                <w:sz w:val="44"/>
                <w:szCs w:val="4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Borders>
              <w:bottom w:val="single" w:color="auto" w:sz="12" w:space="0"/>
            </w:tcBorders>
          </w:tcPr>
          <w:p>
            <w:pPr>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发布</w:t>
            </w:r>
          </w:p>
        </w:tc>
        <w:tc>
          <w:tcPr>
            <w:tcW w:w="4193" w:type="dxa"/>
            <w:tcBorders>
              <w:bottom w:val="single" w:color="auto" w:sz="12" w:space="0"/>
            </w:tcBorders>
          </w:tcPr>
          <w:p>
            <w:pPr>
              <w:jc w:val="right"/>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实施</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4335" w:type="dxa"/>
            <w:tcBorders>
              <w:top w:val="single" w:color="auto" w:sz="12" w:space="0"/>
              <w:bottom w:val="nil"/>
            </w:tcBorders>
          </w:tcPr>
          <w:p>
            <w:pPr>
              <w:rPr>
                <w:sz w:val="28"/>
                <w:szCs w:val="28"/>
              </w:rPr>
            </w:pPr>
          </w:p>
        </w:tc>
        <w:tc>
          <w:tcPr>
            <w:tcW w:w="4193" w:type="dxa"/>
            <w:tcBorders>
              <w:top w:val="single" w:color="auto" w:sz="12" w:space="0"/>
              <w:bottom w:val="nil"/>
            </w:tcBorders>
          </w:tcPr>
          <w:p>
            <w:pPr>
              <w:jc w:val="right"/>
              <w:rPr>
                <w:sz w:val="28"/>
                <w:szCs w:val="28"/>
              </w:rPr>
            </w:pPr>
          </w:p>
        </w:tc>
      </w:tr>
    </w:tbl>
    <w:p>
      <w:pPr>
        <w:widowControl/>
        <w:jc w:val="center"/>
        <w:rPr>
          <w:b/>
          <w:sz w:val="28"/>
          <w:szCs w:val="30"/>
        </w:rPr>
      </w:pPr>
      <w:r>
        <w:rPr>
          <w:rFonts w:hint="eastAsia" w:ascii="Times New Roman" w:hAnsi="Times New Roman" w:cs="Times New Roman"/>
          <w:b/>
          <w:sz w:val="30"/>
          <w:szCs w:val="30"/>
        </w:rPr>
        <w:t xml:space="preserve">云南省住房和城乡建设厅  </w:t>
      </w:r>
      <w:r>
        <w:rPr>
          <w:rFonts w:hint="eastAsia"/>
          <w:b/>
          <w:sz w:val="30"/>
          <w:szCs w:val="30"/>
        </w:rPr>
        <w:t>发布</w:t>
      </w:r>
    </w:p>
    <w:p>
      <w:pPr>
        <w:widowControl/>
        <w:jc w:val="center"/>
        <w:rPr>
          <w:b/>
          <w:sz w:val="28"/>
          <w:szCs w:val="30"/>
        </w:rPr>
      </w:pPr>
    </w:p>
    <w:p>
      <w:pPr>
        <w:widowControl/>
        <w:jc w:val="center"/>
        <w:rPr>
          <w:b/>
          <w:sz w:val="28"/>
          <w:szCs w:val="30"/>
        </w:rPr>
      </w:pPr>
    </w:p>
    <w:p>
      <w:pPr>
        <w:widowControl/>
        <w:jc w:val="center"/>
        <w:rPr>
          <w:b/>
          <w:sz w:val="28"/>
          <w:szCs w:val="30"/>
        </w:rPr>
      </w:pPr>
    </w:p>
    <w:p>
      <w:pPr>
        <w:widowControl/>
        <w:jc w:val="center"/>
        <w:rPr>
          <w:b/>
          <w:sz w:val="28"/>
          <w:szCs w:val="30"/>
        </w:rPr>
      </w:pPr>
    </w:p>
    <w:p>
      <w:pPr>
        <w:widowControl/>
        <w:jc w:val="center"/>
        <w:rPr>
          <w:b/>
          <w:sz w:val="28"/>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type="lines" w:linePitch="312" w:charSpace="0"/>
        </w:sectPr>
      </w:pPr>
    </w:p>
    <w:p>
      <w:pPr>
        <w:widowControl/>
        <w:jc w:val="center"/>
        <w:rPr>
          <w:b/>
          <w:sz w:val="28"/>
          <w:szCs w:val="30"/>
        </w:rPr>
      </w:pPr>
    </w:p>
    <w:p>
      <w:pPr>
        <w:widowControl/>
        <w:jc w:val="center"/>
        <w:rPr>
          <w:b/>
          <w:sz w:val="44"/>
          <w:szCs w:val="44"/>
        </w:rPr>
      </w:pPr>
      <w:r>
        <w:rPr>
          <w:rFonts w:hint="eastAsia"/>
          <w:b/>
          <w:sz w:val="44"/>
          <w:szCs w:val="44"/>
        </w:rPr>
        <w:t>云南省地方标准</w:t>
      </w:r>
    </w:p>
    <w:p>
      <w:pPr>
        <w:widowControl/>
        <w:jc w:val="center"/>
        <w:rPr>
          <w:b/>
          <w:sz w:val="28"/>
          <w:szCs w:val="30"/>
        </w:rPr>
      </w:pP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燃气运营企业安全管理标准</w:t>
      </w: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第1部分：液化石油气运营企业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Part 1: LPG Operating Enterprises</w:t>
      </w:r>
    </w:p>
    <w:p>
      <w:pPr>
        <w:widowControl/>
        <w:spacing w:line="400" w:lineRule="exact"/>
        <w:jc w:val="center"/>
        <w:rPr>
          <w:rFonts w:ascii="Times New Roman" w:hAnsi="Times New Roman" w:cs="Times New Roman"/>
          <w:b/>
          <w:sz w:val="24"/>
          <w:szCs w:val="24"/>
        </w:rPr>
      </w:pPr>
      <w:r>
        <w:rPr>
          <w:rFonts w:ascii="Times New Roman" w:hAnsi="Times New Roman" w:cs="Times New Roman"/>
          <w:b/>
          <w:sz w:val="24"/>
          <w:szCs w:val="24"/>
        </w:rPr>
        <w:t>DB53/T XXX-</w:t>
      </w:r>
      <w:r>
        <w:rPr>
          <w:rFonts w:hint="eastAsia" w:ascii="Times New Roman" w:hAnsi="Times New Roman" w:cs="Times New Roman"/>
          <w:b/>
          <w:sz w:val="24"/>
          <w:szCs w:val="24"/>
        </w:rPr>
        <w:t>XXX</w:t>
      </w:r>
    </w:p>
    <w:p>
      <w:pPr>
        <w:widowControl/>
        <w:spacing w:line="400" w:lineRule="exact"/>
        <w:rPr>
          <w:bCs/>
          <w:sz w:val="28"/>
          <w:szCs w:val="28"/>
        </w:rPr>
      </w:pPr>
    </w:p>
    <w:p>
      <w:pPr>
        <w:widowControl/>
        <w:spacing w:line="440" w:lineRule="exact"/>
        <w:rPr>
          <w:rFonts w:asciiTheme="minorEastAsia" w:hAnsiTheme="minorEastAsia"/>
          <w:bCs/>
          <w:sz w:val="24"/>
          <w:szCs w:val="24"/>
        </w:rPr>
      </w:pPr>
      <w:r>
        <w:rPr>
          <w:rFonts w:hint="eastAsia" w:asciiTheme="minorEastAsia" w:hAnsiTheme="minorEastAsia"/>
          <w:bCs/>
          <w:sz w:val="24"/>
          <w:szCs w:val="24"/>
        </w:rPr>
        <w:t>批准部门：云南省住房和城乡建设厅</w:t>
      </w:r>
    </w:p>
    <w:p>
      <w:pPr>
        <w:widowControl/>
        <w:spacing w:line="440" w:lineRule="exact"/>
        <w:rPr>
          <w:rFonts w:asciiTheme="minorEastAsia" w:hAnsiTheme="minorEastAsia"/>
          <w:bCs/>
          <w:sz w:val="24"/>
          <w:szCs w:val="24"/>
        </w:rPr>
      </w:pPr>
      <w:r>
        <w:rPr>
          <w:rFonts w:hint="eastAsia" w:asciiTheme="minorEastAsia" w:hAnsiTheme="minorEastAsia"/>
          <w:bCs/>
          <w:sz w:val="24"/>
          <w:szCs w:val="24"/>
        </w:rPr>
        <w:t>施行日期：</w:t>
      </w:r>
      <w:r>
        <w:rPr>
          <w:rFonts w:ascii="Times New Roman" w:hAnsi="Times New Roman" w:cs="Times New Roman"/>
          <w:bCs/>
          <w:sz w:val="24"/>
          <w:szCs w:val="24"/>
        </w:rPr>
        <w:t>XX</w:t>
      </w:r>
      <w:r>
        <w:rPr>
          <w:rFonts w:cs="Times New Roman" w:asciiTheme="minorEastAsia" w:hAnsiTheme="minorEastAsia"/>
          <w:bCs/>
          <w:sz w:val="24"/>
          <w:szCs w:val="24"/>
        </w:rPr>
        <w:t>年</w:t>
      </w:r>
      <w:r>
        <w:rPr>
          <w:rFonts w:ascii="Times New Roman" w:hAnsi="Times New Roman" w:cs="Times New Roman"/>
          <w:bCs/>
          <w:sz w:val="24"/>
          <w:szCs w:val="24"/>
        </w:rPr>
        <w:t>XX</w:t>
      </w:r>
      <w:r>
        <w:rPr>
          <w:rFonts w:cs="Times New Roman" w:asciiTheme="minorEastAsia" w:hAnsiTheme="minorEastAsia"/>
          <w:bCs/>
          <w:sz w:val="24"/>
          <w:szCs w:val="24"/>
        </w:rPr>
        <w:t>月</w:t>
      </w:r>
      <w:r>
        <w:rPr>
          <w:rFonts w:ascii="Times New Roman" w:hAnsi="Times New Roman" w:cs="Times New Roman"/>
          <w:bCs/>
          <w:sz w:val="24"/>
          <w:szCs w:val="24"/>
        </w:rPr>
        <w:t>XX</w:t>
      </w:r>
      <w:r>
        <w:rPr>
          <w:rFonts w:cs="Times New Roman" w:asciiTheme="minorEastAsia" w:hAnsiTheme="minorEastAsia"/>
          <w:bCs/>
          <w:sz w:val="24"/>
          <w:szCs w:val="24"/>
        </w:rPr>
        <w:t>日</w:t>
      </w:r>
    </w:p>
    <w:p>
      <w:pPr>
        <w:widowControl/>
        <w:spacing w:line="400" w:lineRule="exact"/>
        <w:rPr>
          <w:rFonts w:asciiTheme="minorEastAsia" w:hAnsiTheme="minorEastAsia"/>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jc w:val="center"/>
        <w:rPr>
          <w:bCs/>
          <w:sz w:val="36"/>
          <w:szCs w:val="36"/>
        </w:rPr>
      </w:pPr>
    </w:p>
    <w:p>
      <w:pPr>
        <w:widowControl/>
        <w:spacing w:line="400" w:lineRule="exact"/>
        <w:jc w:val="center"/>
        <w:rPr>
          <w:bCs/>
          <w:sz w:val="36"/>
          <w:szCs w:val="36"/>
        </w:rPr>
      </w:pPr>
    </w:p>
    <w:p>
      <w:pPr>
        <w:widowControl/>
        <w:spacing w:line="400" w:lineRule="exact"/>
        <w:jc w:val="center"/>
        <w:rPr>
          <w:bCs/>
          <w:sz w:val="36"/>
          <w:szCs w:val="36"/>
        </w:rPr>
      </w:pPr>
    </w:p>
    <w:p>
      <w:pPr>
        <w:widowControl/>
        <w:spacing w:line="400" w:lineRule="exact"/>
        <w:jc w:val="center"/>
        <w:rPr>
          <w:b/>
          <w:bCs/>
          <w:sz w:val="44"/>
          <w:szCs w:val="44"/>
        </w:rPr>
      </w:pPr>
      <w:r>
        <w:rPr>
          <w:rFonts w:hint="eastAsia"/>
          <w:b/>
          <w:bCs/>
          <w:sz w:val="44"/>
          <w:szCs w:val="44"/>
        </w:rPr>
        <w:t>公  告</w:t>
      </w:r>
    </w:p>
    <w:p>
      <w:pPr>
        <w:widowControl/>
        <w:jc w:val="center"/>
        <w:rPr>
          <w:b/>
          <w:sz w:val="28"/>
          <w:szCs w:val="30"/>
        </w:rPr>
      </w:pPr>
    </w:p>
    <w:p>
      <w:pPr>
        <w:widowControl/>
        <w:jc w:val="center"/>
        <w:rPr>
          <w:b/>
          <w:sz w:val="28"/>
          <w:szCs w:val="30"/>
        </w:rPr>
        <w:sectPr>
          <w:footerReference r:id="rId10" w:type="first"/>
          <w:footerReference r:id="rId9" w:type="default"/>
          <w:pgSz w:w="11906" w:h="16838"/>
          <w:pgMar w:top="1440" w:right="1797" w:bottom="1440" w:left="1797" w:header="851" w:footer="992" w:gutter="0"/>
          <w:pgNumType w:fmt="upperRoman" w:start="1"/>
          <w:cols w:space="425" w:num="1"/>
          <w:titlePg/>
          <w:docGrid w:type="lines" w:linePitch="312" w:charSpace="0"/>
        </w:sectPr>
      </w:pPr>
    </w:p>
    <w:p>
      <w:pPr>
        <w:pStyle w:val="18"/>
        <w:ind w:firstLine="883"/>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前  言</w:t>
      </w:r>
    </w:p>
    <w:p>
      <w:pPr>
        <w:pStyle w:val="18"/>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《燃气运营企业安全管理标准》由以下</w:t>
      </w:r>
      <w:r>
        <w:rPr>
          <w:rFonts w:ascii="Times New Roman" w:eastAsiaTheme="minorEastAsia"/>
          <w:bCs/>
          <w:sz w:val="24"/>
          <w:szCs w:val="24"/>
        </w:rPr>
        <w:t>3</w:t>
      </w:r>
      <w:r>
        <w:rPr>
          <w:rFonts w:asciiTheme="minorEastAsia" w:hAnsiTheme="minorEastAsia" w:eastAsiaTheme="minorEastAsia"/>
          <w:bCs/>
          <w:sz w:val="24"/>
          <w:szCs w:val="24"/>
        </w:rPr>
        <w:t>部分组成：</w:t>
      </w:r>
    </w:p>
    <w:p>
      <w:pPr>
        <w:pStyle w:val="18"/>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第</w:t>
      </w:r>
      <w:r>
        <w:rPr>
          <w:rFonts w:ascii="Times New Roman" w:eastAsiaTheme="minorEastAsia"/>
          <w:bCs/>
          <w:sz w:val="24"/>
          <w:szCs w:val="24"/>
        </w:rPr>
        <w:t>1</w:t>
      </w:r>
      <w:r>
        <w:rPr>
          <w:rFonts w:asciiTheme="minorEastAsia" w:hAnsiTheme="minorEastAsia" w:eastAsiaTheme="minorEastAsia"/>
          <w:bCs/>
          <w:sz w:val="24"/>
          <w:szCs w:val="24"/>
        </w:rPr>
        <w:t>部分：液化石油气运营企业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第</w:t>
      </w:r>
      <w:r>
        <w:rPr>
          <w:rFonts w:ascii="Times New Roman" w:eastAsiaTheme="minorEastAsia"/>
          <w:bCs/>
          <w:sz w:val="24"/>
          <w:szCs w:val="24"/>
        </w:rPr>
        <w:t>2</w:t>
      </w:r>
      <w:r>
        <w:rPr>
          <w:rFonts w:asciiTheme="minorEastAsia" w:hAnsiTheme="minorEastAsia" w:eastAsiaTheme="minorEastAsia"/>
          <w:bCs/>
          <w:sz w:val="24"/>
          <w:szCs w:val="24"/>
        </w:rPr>
        <w:t>部分：管道燃气运营企业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第</w:t>
      </w:r>
      <w:r>
        <w:rPr>
          <w:rFonts w:ascii="Times New Roman" w:eastAsiaTheme="minorEastAsia"/>
          <w:bCs/>
          <w:sz w:val="24"/>
          <w:szCs w:val="24"/>
        </w:rPr>
        <w:t>3</w:t>
      </w:r>
      <w:r>
        <w:rPr>
          <w:rFonts w:asciiTheme="minorEastAsia" w:hAnsiTheme="minorEastAsia" w:eastAsiaTheme="minorEastAsia"/>
          <w:bCs/>
          <w:sz w:val="24"/>
          <w:szCs w:val="24"/>
        </w:rPr>
        <w:t>部分：汽车加气运营企业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本部分为《燃气运营企业安全管理标准第</w:t>
      </w:r>
      <w:r>
        <w:rPr>
          <w:rFonts w:ascii="Times New Roman" w:eastAsiaTheme="minorEastAsia"/>
          <w:bCs/>
          <w:sz w:val="24"/>
          <w:szCs w:val="24"/>
        </w:rPr>
        <w:t>1</w:t>
      </w:r>
      <w:r>
        <w:rPr>
          <w:rFonts w:asciiTheme="minorEastAsia" w:hAnsiTheme="minorEastAsia" w:eastAsiaTheme="minorEastAsia"/>
          <w:bCs/>
          <w:sz w:val="24"/>
          <w:szCs w:val="24"/>
        </w:rPr>
        <w:t>部分：液化石油气运营企业》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标准根据</w:t>
      </w:r>
      <w:r>
        <w:rPr>
          <w:rFonts w:hint="eastAsia" w:asciiTheme="minorEastAsia" w:hAnsiTheme="minorEastAsia" w:eastAsiaTheme="minorEastAsia"/>
          <w:bCs/>
          <w:sz w:val="24"/>
          <w:szCs w:val="24"/>
        </w:rPr>
        <w:t>关于印发《工程建设标准编写规定》的通知（建标</w:t>
      </w:r>
      <w:r>
        <w:rPr>
          <w:rFonts w:ascii="Times New Roman" w:eastAsiaTheme="minorEastAsia"/>
          <w:bCs/>
          <w:sz w:val="24"/>
          <w:szCs w:val="24"/>
        </w:rPr>
        <w:t>[2008]182</w:t>
      </w:r>
      <w:r>
        <w:rPr>
          <w:rFonts w:hint="eastAsia" w:asciiTheme="minorEastAsia" w:hAnsiTheme="minorEastAsia" w:eastAsiaTheme="minorEastAsia"/>
          <w:bCs/>
          <w:sz w:val="24"/>
          <w:szCs w:val="24"/>
        </w:rPr>
        <w:t>号）的要求，规范编制组经广泛调查研究，认真总结实践经验，参考有关国家标准和规程，并在广泛征求意见的基础上，编制本标准。</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bCs/>
          <w:sz w:val="24"/>
          <w:szCs w:val="24"/>
        </w:rPr>
        <w:t>本标准主要内容是总则、术语、液化石油气运营企业</w:t>
      </w:r>
      <w:r>
        <w:rPr>
          <w:rFonts w:hint="eastAsia" w:asciiTheme="minorEastAsia" w:hAnsiTheme="minorEastAsia" w:eastAsiaTheme="minorEastAsia"/>
          <w:sz w:val="24"/>
          <w:szCs w:val="24"/>
        </w:rPr>
        <w:t>安全生产目标方针管理、安全生产管理机构、人员配备要求、安全生产职责、安全生产投入、安全文化建设、安全生产信息化建设、安全管理制度和安全操作规程、安全教育培训、抢险与事故管理、安全检查与隐患整改、液化石油气储配站安全管理、液化石油气储配站安全管理、液化石油气瓶装供应站安全管理。</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由云南省住房和城乡建设厅</w:t>
      </w:r>
      <w:r>
        <w:rPr>
          <w:rFonts w:hint="eastAsia" w:asciiTheme="minorEastAsia" w:hAnsiTheme="minorEastAsia" w:eastAsiaTheme="minorEastAsia"/>
          <w:sz w:val="24"/>
          <w:szCs w:val="24"/>
        </w:rPr>
        <w:t>负责管理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由</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有限公司、云南中石油昆仑燃气有限公司、昆明煤气（集团）控股有限公司负责具体内容的技术解释。在执行过程中如有意见或建议，请寄送</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有限公司、云南中石油昆仑燃气有限公司、昆明煤气（集团）控股有限公司（地址：云南省昆明市曙光东区</w:t>
      </w:r>
      <w:r>
        <w:rPr>
          <w:rFonts w:ascii="Times New Roman" w:eastAsiaTheme="minorEastAsia"/>
          <w:sz w:val="24"/>
          <w:szCs w:val="24"/>
        </w:rPr>
        <w:t>40</w:t>
      </w:r>
      <w:r>
        <w:rPr>
          <w:rFonts w:hint="eastAsia" w:asciiTheme="minorEastAsia" w:hAnsiTheme="minorEastAsia" w:eastAsiaTheme="minorEastAsia"/>
          <w:sz w:val="24"/>
          <w:szCs w:val="24"/>
        </w:rPr>
        <w:t>幢，中国（云南）自由贸易试验区昆明片区经开区科技创新园</w:t>
      </w:r>
      <w:r>
        <w:rPr>
          <w:rFonts w:ascii="Times New Roman" w:eastAsiaTheme="minorEastAsia"/>
          <w:sz w:val="24"/>
          <w:szCs w:val="24"/>
        </w:rPr>
        <w:t>2B1-21</w:t>
      </w:r>
      <w:r>
        <w:rPr>
          <w:rFonts w:hint="eastAsia" w:asciiTheme="minorEastAsia" w:hAnsiTheme="minorEastAsia" w:eastAsiaTheme="minorEastAsia"/>
          <w:sz w:val="24"/>
          <w:szCs w:val="24"/>
        </w:rPr>
        <w:t>室，云南省昆明市官渡区春城路</w:t>
      </w:r>
      <w:r>
        <w:rPr>
          <w:rFonts w:ascii="Times New Roman" w:eastAsiaTheme="minorEastAsia"/>
          <w:sz w:val="24"/>
          <w:szCs w:val="24"/>
        </w:rPr>
        <w:t>109</w:t>
      </w:r>
      <w:r>
        <w:rPr>
          <w:rFonts w:hint="eastAsia" w:asciiTheme="minorEastAsia" w:hAnsiTheme="minorEastAsia" w:eastAsiaTheme="minorEastAsia"/>
          <w:sz w:val="24"/>
          <w:szCs w:val="24"/>
        </w:rPr>
        <w:t>号</w:t>
      </w:r>
      <w:r>
        <w:rPr>
          <w:rFonts w:asciiTheme="minorEastAsia" w:hAnsiTheme="minorEastAsia" w:eastAsiaTheme="minorEastAsia"/>
          <w:sz w:val="24"/>
          <w:szCs w:val="24"/>
        </w:rPr>
        <w:t>,</w:t>
      </w:r>
      <w:r>
        <w:rPr>
          <w:rFonts w:hint="eastAsia" w:asciiTheme="minorEastAsia" w:hAnsiTheme="minorEastAsia" w:eastAsiaTheme="minorEastAsia"/>
          <w:sz w:val="24"/>
          <w:szCs w:val="24"/>
        </w:rPr>
        <w:t>邮编：</w:t>
      </w:r>
      <w:r>
        <w:rPr>
          <w:rFonts w:ascii="Times New Roman" w:eastAsiaTheme="minorEastAsia"/>
          <w:sz w:val="24"/>
          <w:szCs w:val="24"/>
        </w:rPr>
        <w:t>650216</w:t>
      </w:r>
      <w:r>
        <w:rPr>
          <w:rFonts w:hint="eastAsia" w:asciiTheme="minorEastAsia" w:hAnsiTheme="minorEastAsia" w:eastAsiaTheme="minorEastAsia"/>
          <w:sz w:val="24"/>
          <w:szCs w:val="24"/>
        </w:rPr>
        <w:t>）</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标准主要</w:t>
      </w:r>
      <w:r>
        <w:rPr>
          <w:rFonts w:asciiTheme="minorEastAsia" w:hAnsiTheme="minorEastAsia" w:eastAsiaTheme="minorEastAsia"/>
          <w:sz w:val="24"/>
          <w:szCs w:val="24"/>
        </w:rPr>
        <w:t>起草单位：云南省燃气计量检测所</w:t>
      </w:r>
      <w:r>
        <w:rPr>
          <w:rFonts w:hint="eastAsia" w:asciiTheme="minorEastAsia" w:hAnsiTheme="minorEastAsia" w:eastAsiaTheme="minorEastAsia"/>
          <w:sz w:val="24"/>
          <w:szCs w:val="24"/>
        </w:rPr>
        <w:t>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云南中石油昆仑燃气有限公司   </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昆明煤气（集团）控股有限公司</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本标准参与起草单位：云南省消防救援总队</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昆明华润燃气有限公司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云南中石化燃气有限公司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云南省标准化研究院</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昆明城市燃气规划设计院有限公司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云南云尚燃气工程规划设计公司</w:t>
      </w:r>
    </w:p>
    <w:p>
      <w:pPr>
        <w:pStyle w:val="18"/>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主要起草人：</w:t>
      </w:r>
      <w:r>
        <w:rPr>
          <w:rFonts w:hint="eastAsia" w:asciiTheme="minorEastAsia" w:hAnsiTheme="minorEastAsia" w:eastAsiaTheme="minorEastAsia"/>
          <w:sz w:val="24"/>
          <w:szCs w:val="24"/>
        </w:rPr>
        <w:t>云南省燃气计量检测所有限公司编制人员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云南中石油昆仑燃气有限公司编制人员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昆明煤气（集团）控股有限公司编制人员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云南省消防救援总队编制人员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昆明华润燃气有限公司编制人员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云南中石化燃气有限公司编制人员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云南省标准化研究院编制人员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昆明城市燃气规划设计院有限公司编制人员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云南云尚燃气工程规划设计公司编制人员</w:t>
      </w:r>
    </w:p>
    <w:p>
      <w:pPr>
        <w:ind w:firstLine="420"/>
        <w:jc w:val="left"/>
        <w:rPr>
          <w:rFonts w:asciiTheme="minorEastAsia" w:hAnsiTheme="minorEastAsia"/>
          <w:sz w:val="24"/>
          <w:szCs w:val="24"/>
        </w:rPr>
      </w:pPr>
      <w:r>
        <w:rPr>
          <w:rFonts w:hint="eastAsia" w:asciiTheme="minorEastAsia" w:hAnsiTheme="minorEastAsia"/>
          <w:sz w:val="24"/>
          <w:szCs w:val="24"/>
        </w:rPr>
        <w:t>本标准主要审查人员：</w:t>
      </w: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jc w:val="left"/>
        <w:rPr>
          <w:rFonts w:asciiTheme="minorEastAsia" w:hAnsiTheme="minorEastAsia"/>
        </w:rPr>
      </w:pPr>
    </w:p>
    <w:p/>
    <w:p/>
    <w:p/>
    <w:p/>
    <w:p/>
    <w:p/>
    <w:p/>
    <w:p/>
    <w:p/>
    <w:p/>
    <w:p>
      <w:pPr>
        <w:jc w:val="center"/>
        <w:rPr>
          <w:rFonts w:ascii="黑体" w:hAnsi="黑体" w:eastAsia="黑体"/>
          <w:bCs/>
          <w:sz w:val="44"/>
          <w:szCs w:val="44"/>
        </w:rPr>
        <w:sectPr>
          <w:footerReference r:id="rId11" w:type="default"/>
          <w:pgSz w:w="11906" w:h="16838"/>
          <w:pgMar w:top="1440" w:right="1797" w:bottom="1383" w:left="1797" w:header="851" w:footer="992" w:gutter="0"/>
          <w:pgNumType w:fmt="upperRoman"/>
          <w:cols w:space="425" w:num="1"/>
          <w:docGrid w:type="lines" w:linePitch="312" w:charSpace="0"/>
        </w:sectPr>
      </w:pPr>
    </w:p>
    <w:p>
      <w:pPr>
        <w:jc w:val="center"/>
        <w:rPr>
          <w:rFonts w:ascii="黑体" w:hAnsi="黑体" w:eastAsia="黑体"/>
          <w:bCs/>
          <w:sz w:val="44"/>
          <w:szCs w:val="44"/>
        </w:rPr>
      </w:pPr>
      <w:r>
        <w:rPr>
          <w:rFonts w:hint="eastAsia" w:ascii="黑体" w:hAnsi="黑体" w:eastAsia="黑体"/>
          <w:bCs/>
          <w:sz w:val="44"/>
          <w:szCs w:val="44"/>
        </w:rPr>
        <w:t>目  次</w:t>
      </w:r>
    </w:p>
    <w:p>
      <w:pPr>
        <w:pStyle w:val="7"/>
        <w:tabs>
          <w:tab w:val="right" w:leader="dot" w:pos="8312"/>
        </w:tabs>
        <w:spacing w:line="400" w:lineRule="atLeast"/>
        <w:rPr>
          <w:rFonts w:asciiTheme="minorEastAsia" w:hAnsiTheme="minorEastAsia"/>
          <w:szCs w:val="21"/>
        </w:rPr>
      </w:pPr>
      <w:r>
        <w:rPr>
          <w:rFonts w:cs="Times New Roman" w:asciiTheme="minorEastAsia" w:hAnsiTheme="minorEastAsia"/>
          <w:szCs w:val="21"/>
        </w:rPr>
        <w:fldChar w:fldCharType="begin"/>
      </w:r>
      <w:r>
        <w:rPr>
          <w:rFonts w:cs="Times New Roman" w:asciiTheme="minorEastAsia" w:hAnsiTheme="minorEastAsia"/>
          <w:szCs w:val="21"/>
        </w:rPr>
        <w:instrText xml:space="preserve">TOC \o "1-2" \h \u </w:instrText>
      </w:r>
      <w:r>
        <w:rPr>
          <w:rFonts w:cs="Times New Roman" w:asciiTheme="minorEastAsia" w:hAnsiTheme="minorEastAsia"/>
          <w:szCs w:val="21"/>
        </w:rPr>
        <w:fldChar w:fldCharType="separate"/>
      </w:r>
      <w:r>
        <w:fldChar w:fldCharType="begin"/>
      </w:r>
      <w:r>
        <w:instrText xml:space="preserve"> HYPERLINK \l "_Toc8561" </w:instrText>
      </w:r>
      <w:r>
        <w:fldChar w:fldCharType="separate"/>
      </w:r>
      <w:r>
        <w:rPr>
          <w:rFonts w:hint="eastAsia" w:asciiTheme="minorEastAsia" w:hAnsiTheme="minorEastAsia"/>
          <w:szCs w:val="21"/>
        </w:rPr>
        <w:t>前言</w:t>
      </w:r>
      <w:r>
        <w:rPr>
          <w:rFonts w:asciiTheme="minorEastAsia" w:hAnsiTheme="minorEastAsia"/>
          <w:szCs w:val="21"/>
        </w:rPr>
        <w:tab/>
      </w:r>
      <w:r>
        <w:rPr>
          <w:rFonts w:asciiTheme="minorEastAsia" w:hAnsiTheme="minorEastAsia"/>
          <w:szCs w:val="21"/>
        </w:rPr>
        <w:t>Ⅲ</w:t>
      </w:r>
      <w:r>
        <w:rPr>
          <w:rFonts w:asciiTheme="minorEastAsia" w:hAnsiTheme="minorEastAsia"/>
          <w:szCs w:val="21"/>
        </w:rPr>
        <w:fldChar w:fldCharType="end"/>
      </w:r>
      <w:r>
        <w:rPr>
          <w:rFonts w:hint="eastAsia" w:asciiTheme="minorEastAsia" w:hAnsiTheme="minorEastAsia"/>
        </w:rPr>
        <w:t>、Ⅳ</w:t>
      </w:r>
    </w:p>
    <w:p>
      <w:pPr>
        <w:pStyle w:val="7"/>
        <w:tabs>
          <w:tab w:val="right" w:leader="dot" w:pos="8312"/>
        </w:tabs>
        <w:spacing w:line="400" w:lineRule="atLeast"/>
        <w:rPr>
          <w:rFonts w:asciiTheme="minorEastAsia" w:hAnsiTheme="minorEastAsia"/>
          <w:szCs w:val="21"/>
        </w:rPr>
      </w:pPr>
      <w:r>
        <w:fldChar w:fldCharType="begin"/>
      </w:r>
      <w:r>
        <w:instrText xml:space="preserve"> HYPERLINK \l "_Toc25139" </w:instrText>
      </w:r>
      <w:r>
        <w:fldChar w:fldCharType="separate"/>
      </w:r>
      <w:r>
        <w:rPr>
          <w:rFonts w:cs="Times New Roman" w:asciiTheme="minorEastAsia" w:hAnsiTheme="minorEastAsia"/>
          <w:szCs w:val="21"/>
        </w:rPr>
        <w:t>1  总则</w:t>
      </w:r>
      <w:r>
        <w:rPr>
          <w:rFonts w:asciiTheme="minorEastAsia" w:hAnsiTheme="minorEastAsia"/>
          <w:szCs w:val="21"/>
        </w:rPr>
        <w:tab/>
      </w:r>
      <w:r>
        <w:rPr>
          <w:rFonts w:hint="eastAsia" w:asciiTheme="minorEastAsia" w:hAnsiTheme="minorEastAsia"/>
          <w:szCs w:val="21"/>
        </w:rPr>
        <w:t>1</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"_Toc184" </w:instrText>
      </w:r>
      <w:r>
        <w:fldChar w:fldCharType="separate"/>
      </w:r>
      <w:r>
        <w:rPr>
          <w:rFonts w:hint="eastAsia" w:cs="Times New Roman" w:asciiTheme="minorEastAsia" w:hAnsiTheme="minorEastAsia"/>
          <w:szCs w:val="21"/>
        </w:rPr>
        <w:t>2  术语</w:t>
      </w:r>
      <w:r>
        <w:rPr>
          <w:rFonts w:asciiTheme="minorEastAsia" w:hAnsiTheme="minorEastAsia"/>
          <w:szCs w:val="21"/>
        </w:rPr>
        <w:tab/>
      </w:r>
      <w:r>
        <w:rPr>
          <w:rFonts w:hint="eastAsia" w:asciiTheme="minorEastAsia" w:hAnsiTheme="minorEastAsia"/>
          <w:szCs w:val="21"/>
        </w:rPr>
        <w:t>2</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"_Toc26008" </w:instrText>
      </w:r>
      <w:r>
        <w:fldChar w:fldCharType="separate"/>
      </w:r>
      <w:r>
        <w:rPr>
          <w:rFonts w:cs="Times New Roman" w:asciiTheme="minorEastAsia" w:hAnsiTheme="minorEastAsia"/>
          <w:szCs w:val="21"/>
        </w:rPr>
        <w:t>3  液化石油气运营企业安全管理</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"_Toc24131" </w:instrText>
      </w:r>
      <w:r>
        <w:fldChar w:fldCharType="separate"/>
      </w:r>
      <w:r>
        <w:rPr>
          <w:rFonts w:cs="Times New Roman" w:asciiTheme="minorEastAsia" w:hAnsiTheme="minorEastAsia"/>
          <w:szCs w:val="21"/>
        </w:rPr>
        <w:t>3.1 安全生产目标方针管理</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"_Toc19757" </w:instrText>
      </w:r>
      <w:r>
        <w:fldChar w:fldCharType="separate"/>
      </w:r>
      <w:r>
        <w:rPr>
          <w:rFonts w:cs="Times New Roman" w:asciiTheme="minorEastAsia" w:hAnsiTheme="minorEastAsia"/>
          <w:szCs w:val="21"/>
        </w:rPr>
        <w:t>3.2 安全生产管理机构</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"_Toc18333" </w:instrText>
      </w:r>
      <w:r>
        <w:fldChar w:fldCharType="separate"/>
      </w:r>
      <w:r>
        <w:rPr>
          <w:rFonts w:hint="eastAsia" w:cs="Times New Roman" w:asciiTheme="minorEastAsia" w:hAnsiTheme="minorEastAsia"/>
          <w:szCs w:val="21"/>
        </w:rPr>
        <w:t>3.3 人员配备要求</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"_Toc19701" </w:instrText>
      </w:r>
      <w:r>
        <w:fldChar w:fldCharType="separate"/>
      </w:r>
      <w:r>
        <w:rPr>
          <w:rFonts w:hint="eastAsia" w:cs="Times New Roman" w:asciiTheme="minorEastAsia" w:hAnsiTheme="minorEastAsia"/>
          <w:szCs w:val="21"/>
        </w:rPr>
        <w:t>3.4 安全生产职责</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"_Toc16480" </w:instrText>
      </w:r>
      <w:r>
        <w:fldChar w:fldCharType="separate"/>
      </w:r>
      <w:r>
        <w:rPr>
          <w:rFonts w:hint="eastAsia" w:cs="Times New Roman" w:asciiTheme="minorEastAsia" w:hAnsiTheme="minorEastAsia"/>
          <w:szCs w:val="21"/>
        </w:rPr>
        <w:t>3.5 安全生产投入</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"_Toc30582" </w:instrText>
      </w:r>
      <w:r>
        <w:fldChar w:fldCharType="separate"/>
      </w:r>
      <w:r>
        <w:rPr>
          <w:rFonts w:hint="eastAsia" w:cs="Times New Roman" w:asciiTheme="minorEastAsia" w:hAnsiTheme="minorEastAsia"/>
          <w:szCs w:val="21"/>
        </w:rPr>
        <w:t>3.6 安全文化、标准化建设</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"_Toc2850" </w:instrText>
      </w:r>
      <w:r>
        <w:fldChar w:fldCharType="separate"/>
      </w:r>
      <w:r>
        <w:rPr>
          <w:rFonts w:hint="eastAsia" w:cs="Times New Roman" w:asciiTheme="minorEastAsia" w:hAnsiTheme="minorEastAsia"/>
          <w:szCs w:val="21"/>
        </w:rPr>
        <w:t>3.7 安全生产信息化建设</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"_Toc7815" </w:instrText>
      </w:r>
      <w:r>
        <w:fldChar w:fldCharType="separate"/>
      </w:r>
      <w:r>
        <w:rPr>
          <w:rFonts w:hint="eastAsia" w:cs="Times New Roman" w:asciiTheme="minorEastAsia" w:hAnsiTheme="minorEastAsia"/>
          <w:szCs w:val="21"/>
        </w:rPr>
        <w:t>3.8 安全管理制度和安全操作规程</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"_Toc19849" </w:instrText>
      </w:r>
      <w:r>
        <w:fldChar w:fldCharType="separate"/>
      </w:r>
      <w:r>
        <w:rPr>
          <w:rFonts w:hint="eastAsia" w:cs="Times New Roman" w:asciiTheme="minorEastAsia" w:hAnsiTheme="minorEastAsia"/>
          <w:szCs w:val="21"/>
        </w:rPr>
        <w:t>3.9 安全教育培训</w:t>
      </w:r>
      <w:r>
        <w:rPr>
          <w:rFonts w:asciiTheme="minorEastAsia" w:hAnsiTheme="minorEastAsia"/>
          <w:szCs w:val="21"/>
        </w:rPr>
        <w:tab/>
      </w:r>
      <w:r>
        <w:rPr>
          <w:rFonts w:hint="eastAsia" w:asciiTheme="minorEastAsia" w:hAnsiTheme="minorEastAsia"/>
          <w:szCs w:val="21"/>
        </w:rPr>
        <w:t>5</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"_Toc18336" </w:instrText>
      </w:r>
      <w:r>
        <w:fldChar w:fldCharType="separate"/>
      </w:r>
      <w:r>
        <w:rPr>
          <w:rFonts w:hint="eastAsia" w:cs="Times New Roman" w:asciiTheme="minorEastAsia" w:hAnsiTheme="minorEastAsia"/>
          <w:szCs w:val="21"/>
        </w:rPr>
        <w:t>3.10 抢险与事故管理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"_Toc15349" </w:instrText>
      </w:r>
      <w:r>
        <w:fldChar w:fldCharType="separate"/>
      </w:r>
      <w:r>
        <w:rPr>
          <w:rFonts w:hint="eastAsia" w:cs="Times New Roman" w:asciiTheme="minorEastAsia" w:hAnsiTheme="minorEastAsia"/>
          <w:szCs w:val="21"/>
        </w:rPr>
        <w:t>3.11</w:t>
      </w:r>
      <w:r>
        <w:rPr>
          <w:rFonts w:cs="Times New Roman" w:asciiTheme="minorEastAsia" w:hAnsiTheme="minorEastAsia"/>
          <w:szCs w:val="21"/>
        </w:rPr>
        <w:t>安全检查</w:t>
      </w:r>
      <w:r>
        <w:rPr>
          <w:rFonts w:hint="eastAsia" w:cs="Times New Roman" w:asciiTheme="minorEastAsia" w:hAnsiTheme="minorEastAsia"/>
          <w:szCs w:val="21"/>
        </w:rPr>
        <w:t>与</w:t>
      </w:r>
      <w:r>
        <w:rPr>
          <w:rFonts w:cs="Times New Roman" w:asciiTheme="minorEastAsia" w:hAnsiTheme="minorEastAsia"/>
          <w:szCs w:val="21"/>
        </w:rPr>
        <w:t>隐患整改</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"_Toc3932" </w:instrText>
      </w:r>
      <w:r>
        <w:fldChar w:fldCharType="separate"/>
      </w:r>
      <w:r>
        <w:rPr>
          <w:rFonts w:hint="eastAsia" w:cs="Times New Roman" w:asciiTheme="minorEastAsia" w:hAnsiTheme="minorEastAsia"/>
          <w:szCs w:val="21"/>
        </w:rPr>
        <w:t xml:space="preserve">4 </w:t>
      </w:r>
      <w:r>
        <w:rPr>
          <w:rFonts w:cs="Times New Roman" w:asciiTheme="minorEastAsia" w:hAnsiTheme="minorEastAsia"/>
          <w:szCs w:val="21"/>
        </w:rPr>
        <w:t>液化石油气储配站</w:t>
      </w:r>
      <w:r>
        <w:rPr>
          <w:rFonts w:hint="eastAsia" w:cs="Times New Roman" w:asciiTheme="minorEastAsia" w:hAnsiTheme="minorEastAsia"/>
          <w:szCs w:val="21"/>
        </w:rPr>
        <w:t>安全</w:t>
      </w:r>
      <w:r>
        <w:rPr>
          <w:rFonts w:cs="Times New Roman" w:asciiTheme="minorEastAsia" w:hAnsiTheme="minorEastAsia"/>
          <w:szCs w:val="21"/>
        </w:rPr>
        <w:t>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"_Toc15202" </w:instrText>
      </w:r>
      <w:r>
        <w:fldChar w:fldCharType="separate"/>
      </w:r>
      <w:r>
        <w:rPr>
          <w:rFonts w:hint="eastAsia" w:cs="Times New Roman" w:asciiTheme="minorEastAsia" w:hAnsiTheme="minorEastAsia"/>
          <w:bCs/>
          <w:szCs w:val="21"/>
        </w:rPr>
        <w:t>4.1 安全生产基础管理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"_Toc24145" </w:instrText>
      </w:r>
      <w:r>
        <w:fldChar w:fldCharType="separate"/>
      </w:r>
      <w:r>
        <w:rPr>
          <w:rFonts w:hint="eastAsia" w:cs="Times New Roman" w:asciiTheme="minorEastAsia" w:hAnsiTheme="minorEastAsia"/>
          <w:bCs/>
          <w:szCs w:val="21"/>
        </w:rPr>
        <w:t>4.2 现场安全管理</w:t>
      </w:r>
      <w:r>
        <w:rPr>
          <w:rFonts w:asciiTheme="minorEastAsia" w:hAnsiTheme="minorEastAsia"/>
          <w:szCs w:val="21"/>
        </w:rPr>
        <w:tab/>
      </w:r>
      <w:r>
        <w:rPr>
          <w:rFonts w:hint="eastAsia" w:asciiTheme="minorEastAsia" w:hAnsiTheme="minorEastAsia"/>
          <w:szCs w:val="21"/>
        </w:rPr>
        <w:t>7</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"_Toc29554" </w:instrText>
      </w:r>
      <w:r>
        <w:fldChar w:fldCharType="separate"/>
      </w:r>
      <w:r>
        <w:rPr>
          <w:rFonts w:hint="eastAsia" w:cs="Times New Roman" w:asciiTheme="minorEastAsia" w:hAnsiTheme="minorEastAsia"/>
          <w:bCs/>
          <w:szCs w:val="21"/>
        </w:rPr>
        <w:t>5 液化石油气瓶装供应安全管理</w:t>
      </w:r>
      <w:r>
        <w:rPr>
          <w:rFonts w:asciiTheme="minorEastAsia" w:hAnsiTheme="minorEastAsia"/>
          <w:szCs w:val="21"/>
        </w:rPr>
        <w:tab/>
      </w:r>
      <w:r>
        <w:rPr>
          <w:rFonts w:hint="eastAsia" w:asciiTheme="minorEastAsia" w:hAnsiTheme="minorEastAsia"/>
          <w:szCs w:val="21"/>
        </w:rPr>
        <w:t>7</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"_Toc8560" </w:instrText>
      </w:r>
      <w:r>
        <w:fldChar w:fldCharType="separate"/>
      </w:r>
      <w:r>
        <w:rPr>
          <w:rFonts w:hint="eastAsia" w:cs="Times New Roman" w:asciiTheme="minorEastAsia" w:hAnsiTheme="minorEastAsia"/>
          <w:szCs w:val="21"/>
        </w:rPr>
        <w:t>5.1 一级供应站、二级供应站、三级供应站以及便民服务部安全管理</w:t>
      </w:r>
      <w:r>
        <w:rPr>
          <w:rFonts w:asciiTheme="minorEastAsia" w:hAnsiTheme="minorEastAsia"/>
          <w:szCs w:val="21"/>
        </w:rPr>
        <w:tab/>
      </w:r>
      <w:r>
        <w:rPr>
          <w:rFonts w:hint="eastAsia" w:asciiTheme="minorEastAsia" w:hAnsiTheme="minorEastAsia"/>
          <w:szCs w:val="21"/>
        </w:rPr>
        <w:t>8</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"_Toc22983" </w:instrText>
      </w:r>
      <w:r>
        <w:fldChar w:fldCharType="separate"/>
      </w:r>
      <w:r>
        <w:rPr>
          <w:rFonts w:hint="eastAsia" w:cs="Times New Roman" w:asciiTheme="minorEastAsia" w:hAnsiTheme="minorEastAsia"/>
          <w:bCs/>
          <w:szCs w:val="21"/>
        </w:rPr>
        <w:t>5.2 液化石油气瓶组用户安全管理</w:t>
      </w:r>
      <w:r>
        <w:rPr>
          <w:rFonts w:asciiTheme="minorEastAsia" w:hAnsiTheme="minorEastAsia"/>
          <w:szCs w:val="21"/>
        </w:rPr>
        <w:tab/>
      </w:r>
      <w:r>
        <w:rPr>
          <w:rFonts w:hint="eastAsia" w:asciiTheme="minorEastAsia" w:hAnsiTheme="minorEastAsia"/>
          <w:szCs w:val="21"/>
        </w:rPr>
        <w:t>8</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"_Toc2687" </w:instrText>
      </w:r>
      <w:r>
        <w:fldChar w:fldCharType="separate"/>
      </w:r>
      <w:r>
        <w:rPr>
          <w:rFonts w:hint="eastAsia" w:cs="Times New Roman" w:asciiTheme="minorEastAsia" w:hAnsiTheme="minorEastAsia"/>
          <w:bCs/>
          <w:szCs w:val="21"/>
        </w:rPr>
        <w:t>附录A 政府燃气管理部门开展安全监督检查内容</w:t>
      </w:r>
      <w:r>
        <w:rPr>
          <w:rFonts w:asciiTheme="minorEastAsia" w:hAnsiTheme="minorEastAsia"/>
          <w:szCs w:val="21"/>
        </w:rPr>
        <w:tab/>
      </w:r>
      <w:r>
        <w:rPr>
          <w:rFonts w:hint="eastAsia" w:asciiTheme="minorEastAsia" w:hAnsiTheme="minorEastAsia"/>
          <w:szCs w:val="21"/>
        </w:rPr>
        <w:t>9</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rPr>
      </w:pPr>
      <w:r>
        <w:fldChar w:fldCharType="begin"/>
      </w:r>
      <w:r>
        <w:instrText xml:space="preserve"> HYPERLINK \l "_Toc18699" </w:instrText>
      </w:r>
      <w:r>
        <w:fldChar w:fldCharType="separate"/>
      </w:r>
      <w:r>
        <w:rPr>
          <w:rFonts w:hint="eastAsia" w:cs="Times New Roman" w:asciiTheme="minorEastAsia" w:hAnsiTheme="minorEastAsia"/>
          <w:bCs/>
          <w:szCs w:val="21"/>
        </w:rPr>
        <w:t>附录B 企业开展安全监督检查内容</w:t>
      </w:r>
      <w:r>
        <w:rPr>
          <w:rFonts w:asciiTheme="minorEastAsia" w:hAnsiTheme="minorEastAsia"/>
          <w:szCs w:val="21"/>
        </w:rPr>
        <w:tab/>
      </w:r>
      <w:r>
        <w:rPr>
          <w:rFonts w:hint="eastAsia" w:asciiTheme="minorEastAsia" w:hAnsiTheme="minorEastAsia"/>
          <w:szCs w:val="21"/>
        </w:rPr>
        <w:t>16</w:t>
      </w:r>
      <w:r>
        <w:rPr>
          <w:rFonts w:hint="eastAsia" w:asciiTheme="minorEastAsia" w:hAnsiTheme="minorEastAsia"/>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25</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szCs w:val="21"/>
        </w:rPr>
        <w:fldChar w:fldCharType="end"/>
      </w: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26</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27</w:t>
      </w:r>
      <w:r>
        <w:rPr>
          <w:rFonts w:hint="eastAsia" w:asciiTheme="minorEastAsia" w:hAnsiTheme="minorEastAsia" w:eastAsiaTheme="minorEastAsia"/>
          <w:bCs/>
          <w:sz w:val="21"/>
          <w:szCs w:val="21"/>
        </w:rPr>
        <w:fldChar w:fldCharType="end"/>
      </w:r>
    </w:p>
    <w:p>
      <w:pPr>
        <w:spacing w:line="400" w:lineRule="atLeast"/>
        <w:rPr>
          <w:rFonts w:cs="Times New Roman" w:asciiTheme="minorEastAsia" w:hAnsiTheme="minorEastAsia"/>
          <w:b/>
          <w:szCs w:val="21"/>
        </w:rPr>
      </w:pPr>
    </w:p>
    <w:p>
      <w:pPr>
        <w:spacing w:line="400" w:lineRule="atLeast"/>
        <w:jc w:val="center"/>
        <w:rPr>
          <w:rFonts w:cs="Times New Roman" w:asciiTheme="minorEastAsia" w:hAnsiTheme="minorEastAsia"/>
          <w:b/>
          <w:szCs w:val="21"/>
        </w:rPr>
      </w:pPr>
    </w:p>
    <w:p>
      <w:pPr>
        <w:spacing w:line="400" w:lineRule="atLeast"/>
        <w:jc w:val="center"/>
        <w:rPr>
          <w:rFonts w:cs="Times New Roman" w:asciiTheme="minorEastAsia" w:hAnsiTheme="minorEastAsia"/>
          <w:b/>
          <w:szCs w:val="21"/>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pStyle w:val="7"/>
        <w:tabs>
          <w:tab w:val="right" w:leader="dot" w:pos="8312"/>
        </w:tabs>
        <w:rPr>
          <w:rFonts w:ascii="Times New Roman" w:hAnsi="Times New Roman" w:cs="Times New Roman"/>
          <w:b/>
          <w:sz w:val="44"/>
          <w:szCs w:val="44"/>
        </w:rPr>
        <w:sectPr>
          <w:footerReference r:id="rId12" w:type="default"/>
          <w:pgSz w:w="11906" w:h="16838"/>
          <w:pgMar w:top="1440" w:right="1797" w:bottom="1383" w:left="1797" w:header="851" w:footer="992" w:gutter="0"/>
          <w:pgNumType w:fmt="upperRoman"/>
          <w:cols w:space="425" w:num="1"/>
          <w:docGrid w:type="lines" w:linePitch="312" w:charSpace="0"/>
        </w:sectPr>
      </w:pPr>
      <w:bookmarkStart w:id="0" w:name="_Toc25139"/>
    </w:p>
    <w:p>
      <w:pPr>
        <w:pStyle w:val="7"/>
        <w:tabs>
          <w:tab w:val="right" w:leader="dot" w:pos="8312"/>
        </w:tabs>
        <w:jc w:val="center"/>
        <w:rPr>
          <w:rFonts w:ascii="Times New Roman" w:hAnsi="Times New Roman" w:cs="Times New Roman"/>
          <w:b/>
          <w:sz w:val="44"/>
          <w:szCs w:val="44"/>
        </w:rPr>
      </w:pPr>
      <w:r>
        <w:rPr>
          <w:rFonts w:hint="eastAsia" w:ascii="Times New Roman" w:hAnsi="Times New Roman" w:cs="Times New Roman"/>
          <w:b/>
          <w:sz w:val="44"/>
          <w:szCs w:val="44"/>
        </w:rPr>
        <w:t>contents</w:t>
      </w:r>
    </w:p>
    <w:p>
      <w:pPr>
        <w:pStyle w:val="7"/>
        <w:tabs>
          <w:tab w:val="right" w:leader="dot" w:pos="8312"/>
        </w:tabs>
        <w:spacing w:line="400" w:lineRule="atLeast"/>
        <w:rPr>
          <w:rFonts w:ascii="Times New Roman" w:hAnsi="Times New Roman" w:cs="Times New Roman"/>
          <w:szCs w:val="21"/>
        </w:rPr>
      </w:pPr>
      <w:r>
        <w:rPr>
          <w:rFonts w:ascii="Times New Roman" w:hAnsi="Times New Roman" w:cs="Times New Roman"/>
          <w:b/>
          <w:szCs w:val="21"/>
        </w:rPr>
        <w:fldChar w:fldCharType="begin"/>
      </w:r>
      <w:r>
        <w:rPr>
          <w:rFonts w:ascii="Times New Roman" w:hAnsi="Times New Roman" w:cs="Times New Roman"/>
          <w:b/>
          <w:szCs w:val="21"/>
        </w:rPr>
        <w:instrText xml:space="preserve">TOC \o "1-2" \h \u </w:instrText>
      </w:r>
      <w:r>
        <w:rPr>
          <w:rFonts w:ascii="Times New Roman" w:hAnsi="Times New Roman" w:cs="Times New Roman"/>
          <w:b/>
          <w:szCs w:val="21"/>
        </w:rPr>
        <w:fldChar w:fldCharType="separate"/>
      </w:r>
      <w:r>
        <w:fldChar w:fldCharType="begin"/>
      </w:r>
      <w:r>
        <w:instrText xml:space="preserve"> HYPERLINK \l "_Toc8561" </w:instrText>
      </w:r>
      <w:r>
        <w:fldChar w:fldCharType="separate"/>
      </w:r>
      <w:r>
        <w:rPr>
          <w:rFonts w:ascii="Times New Roman" w:hAnsi="Times New Roman" w:cs="Times New Roman"/>
          <w:szCs w:val="21"/>
        </w:rPr>
        <w:t>Preface</w:t>
      </w:r>
      <w:r>
        <w:rPr>
          <w:rFonts w:ascii="Times New Roman" w:hAnsi="Times New Roman" w:cs="Times New Roman"/>
          <w:szCs w:val="21"/>
        </w:rPr>
        <w:tab/>
      </w:r>
      <w:r>
        <w:rPr>
          <w:rFonts w:ascii="Times New Roman" w:cs="Times New Roman" w:hAnsiTheme="minorEastAsia"/>
          <w:szCs w:val="21"/>
        </w:rPr>
        <w:t>Ⅲ</w:t>
      </w:r>
      <w:r>
        <w:rPr>
          <w:rFonts w:ascii="Times New Roman" w:cs="Times New Roman" w:hAnsiTheme="minorEastAsia"/>
          <w:szCs w:val="21"/>
        </w:rPr>
        <w:fldChar w:fldCharType="end"/>
      </w:r>
      <w:r>
        <w:rPr>
          <w:rFonts w:ascii="Times New Roman" w:cs="Times New Roman"/>
        </w:rPr>
        <w:t>、</w:t>
      </w:r>
      <w:r>
        <w:rPr>
          <w:rFonts w:ascii="Times New Roman" w:cs="Times New Roman" w:hAnsiTheme="minorEastAsia"/>
        </w:rPr>
        <w:t>Ⅳ</w:t>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"_Toc25139" </w:instrText>
      </w:r>
      <w:r>
        <w:fldChar w:fldCharType="separate"/>
      </w:r>
      <w:r>
        <w:rPr>
          <w:rFonts w:ascii="Times New Roman" w:hAnsi="Times New Roman" w:cs="Times New Roman"/>
          <w:szCs w:val="21"/>
        </w:rPr>
        <w:t>1  general rules</w:t>
      </w:r>
      <w:r>
        <w:rPr>
          <w:rFonts w:ascii="Times New Roman" w:hAnsi="Times New Roman" w:cs="Times New Roman"/>
          <w:szCs w:val="21"/>
        </w:rPr>
        <w:tab/>
      </w:r>
      <w:r>
        <w:rPr>
          <w:rFonts w:ascii="Times New Roman" w:hAnsi="Times New Roman" w:cs="Times New Roman"/>
          <w:szCs w:val="21"/>
        </w:rPr>
        <w:t>1</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"_Toc184" </w:instrText>
      </w:r>
      <w:r>
        <w:fldChar w:fldCharType="separate"/>
      </w:r>
      <w:r>
        <w:rPr>
          <w:rFonts w:ascii="Times New Roman" w:hAnsi="Times New Roman" w:cs="Times New Roman"/>
          <w:szCs w:val="21"/>
        </w:rPr>
        <w:t>2  term</w:t>
      </w:r>
      <w:r>
        <w:rPr>
          <w:rFonts w:ascii="Times New Roman" w:hAnsi="Times New Roman" w:cs="Times New Roman"/>
          <w:szCs w:val="21"/>
        </w:rPr>
        <w:tab/>
      </w:r>
      <w:r>
        <w:rPr>
          <w:rFonts w:ascii="Times New Roman" w:hAnsi="Times New Roman" w:cs="Times New Roman"/>
          <w:szCs w:val="21"/>
        </w:rPr>
        <w:t>2</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"_Toc26008" </w:instrText>
      </w:r>
      <w:r>
        <w:fldChar w:fldCharType="separate"/>
      </w:r>
      <w:r>
        <w:rPr>
          <w:rFonts w:ascii="Times New Roman" w:hAnsi="Times New Roman" w:eastAsia="宋体" w:cs="Times New Roman"/>
          <w:szCs w:val="21"/>
        </w:rPr>
        <w:t>3  Safety management of LPG operating enterprises</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"_Toc24131" </w:instrText>
      </w:r>
      <w:r>
        <w:fldChar w:fldCharType="separate"/>
      </w:r>
      <w:r>
        <w:rPr>
          <w:rFonts w:ascii="Times New Roman" w:hAnsi="Times New Roman" w:eastAsia="宋体" w:cs="Times New Roman"/>
          <w:szCs w:val="21"/>
        </w:rPr>
        <w:t>3.1 Safety production objectives and policy managemen</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"_Toc19757" </w:instrText>
      </w:r>
      <w:r>
        <w:fldChar w:fldCharType="separate"/>
      </w:r>
      <w:r>
        <w:rPr>
          <w:rFonts w:ascii="Times New Roman" w:hAnsi="Times New Roman" w:eastAsia="宋体" w:cs="Times New Roman"/>
          <w:szCs w:val="21"/>
        </w:rPr>
        <w:t>3.2 Work safety management agency</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"_Toc18333" </w:instrText>
      </w:r>
      <w:r>
        <w:fldChar w:fldCharType="separate"/>
      </w:r>
      <w:r>
        <w:rPr>
          <w:rFonts w:ascii="Times New Roman" w:hAnsi="Times New Roman" w:cs="Times New Roman"/>
          <w:szCs w:val="21"/>
        </w:rPr>
        <w:t>3.3 Requirements for staffing</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"_Toc19701" </w:instrText>
      </w:r>
      <w:r>
        <w:fldChar w:fldCharType="separate"/>
      </w:r>
      <w:r>
        <w:rPr>
          <w:rFonts w:ascii="Times New Roman" w:hAnsi="Times New Roman" w:cs="Times New Roman"/>
          <w:szCs w:val="21"/>
        </w:rPr>
        <w:t>3.4 Work safety responsibilities</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"_Toc16480" </w:instrText>
      </w:r>
      <w:r>
        <w:fldChar w:fldCharType="separate"/>
      </w:r>
      <w:r>
        <w:rPr>
          <w:rFonts w:ascii="Times New Roman" w:hAnsi="Times New Roman" w:cs="Times New Roman"/>
          <w:szCs w:val="21"/>
        </w:rPr>
        <w:t>3.5 Investment in production safety</w:t>
      </w:r>
      <w:r>
        <w:rPr>
          <w:rFonts w:ascii="Times New Roman" w:hAnsi="Times New Roman" w:cs="Times New Roman"/>
          <w:szCs w:val="21"/>
        </w:rPr>
        <w:tab/>
      </w:r>
      <w:r>
        <w:rPr>
          <w:rFonts w:ascii="Times New Roman" w:hAnsi="Times New Roman" w:cs="Times New Roman"/>
          <w:szCs w:val="21"/>
        </w:rPr>
        <w:t>4</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"_Toc30582" </w:instrText>
      </w:r>
      <w:r>
        <w:fldChar w:fldCharType="separate"/>
      </w:r>
      <w:r>
        <w:rPr>
          <w:rFonts w:ascii="Times New Roman" w:hAnsi="Times New Roman" w:cs="Times New Roman"/>
          <w:szCs w:val="21"/>
        </w:rPr>
        <w:t>3.6 Safety culture and standardization construction</w:t>
      </w:r>
      <w:r>
        <w:rPr>
          <w:rFonts w:ascii="Times New Roman" w:hAnsi="Times New Roman" w:cs="Times New Roman"/>
          <w:szCs w:val="21"/>
        </w:rPr>
        <w:tab/>
      </w:r>
      <w:r>
        <w:rPr>
          <w:rFonts w:ascii="Times New Roman" w:hAnsi="Times New Roman" w:cs="Times New Roman"/>
          <w:szCs w:val="21"/>
        </w:rPr>
        <w:t>4</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"_Toc2850" </w:instrText>
      </w:r>
      <w:r>
        <w:fldChar w:fldCharType="separate"/>
      </w:r>
      <w:r>
        <w:rPr>
          <w:rFonts w:ascii="Times New Roman" w:hAnsi="Times New Roman" w:cs="Times New Roman"/>
          <w:szCs w:val="21"/>
        </w:rPr>
        <w:t>3.7 Safety production information construction</w:t>
      </w:r>
      <w:r>
        <w:rPr>
          <w:rFonts w:ascii="Times New Roman" w:hAnsi="Times New Roman" w:cs="Times New Roman"/>
          <w:szCs w:val="21"/>
        </w:rPr>
        <w:tab/>
      </w:r>
      <w:r>
        <w:rPr>
          <w:rFonts w:ascii="Times New Roman" w:hAnsi="Times New Roman" w:cs="Times New Roman"/>
          <w:szCs w:val="21"/>
        </w:rPr>
        <w:t>4</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"_Toc7815" </w:instrText>
      </w:r>
      <w:r>
        <w:fldChar w:fldCharType="separate"/>
      </w:r>
      <w:r>
        <w:rPr>
          <w:rFonts w:ascii="Times New Roman" w:hAnsi="Times New Roman" w:cs="Times New Roman"/>
          <w:szCs w:val="21"/>
        </w:rPr>
        <w:t>3.8 Safety management system and safety operation procedures</w:t>
      </w:r>
      <w:r>
        <w:rPr>
          <w:rFonts w:ascii="Times New Roman" w:hAnsi="Times New Roman" w:cs="Times New Roman"/>
          <w:szCs w:val="21"/>
        </w:rPr>
        <w:tab/>
      </w:r>
      <w:r>
        <w:rPr>
          <w:rFonts w:ascii="Times New Roman" w:hAnsi="Times New Roman" w:cs="Times New Roman"/>
          <w:szCs w:val="21"/>
        </w:rPr>
        <w:t>4</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"_Toc19849" </w:instrText>
      </w:r>
      <w:r>
        <w:fldChar w:fldCharType="separate"/>
      </w:r>
      <w:r>
        <w:rPr>
          <w:rFonts w:ascii="Times New Roman" w:hAnsi="Times New Roman" w:cs="Times New Roman"/>
          <w:szCs w:val="21"/>
        </w:rPr>
        <w:t>3.9 Safety education and training</w:t>
      </w:r>
      <w:r>
        <w:rPr>
          <w:rFonts w:ascii="Times New Roman" w:hAnsi="Times New Roman" w:cs="Times New Roman"/>
          <w:szCs w:val="21"/>
        </w:rPr>
        <w:tab/>
      </w:r>
      <w:r>
        <w:rPr>
          <w:rFonts w:ascii="Times New Roman" w:hAnsi="Times New Roman" w:cs="Times New Roman"/>
          <w:szCs w:val="21"/>
        </w:rPr>
        <w:t>5</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"_Toc18336" </w:instrText>
      </w:r>
      <w:r>
        <w:fldChar w:fldCharType="separate"/>
      </w:r>
      <w:r>
        <w:rPr>
          <w:rFonts w:ascii="Times New Roman" w:hAnsi="Times New Roman" w:cs="Times New Roman"/>
          <w:szCs w:val="21"/>
        </w:rPr>
        <w:t>3.10 Emergency rescue and accident management</w:t>
      </w:r>
      <w:r>
        <w:rPr>
          <w:rFonts w:ascii="Times New Roman" w:hAnsi="Times New Roman" w:cs="Times New Roman"/>
          <w:szCs w:val="21"/>
        </w:rPr>
        <w:tab/>
      </w:r>
      <w:r>
        <w:rPr>
          <w:rFonts w:ascii="Times New Roman" w:hAnsi="Times New Roman" w:cs="Times New Roman"/>
          <w:szCs w:val="21"/>
        </w:rPr>
        <w:t>6</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"_Toc15349" </w:instrText>
      </w:r>
      <w:r>
        <w:fldChar w:fldCharType="separate"/>
      </w:r>
      <w:r>
        <w:rPr>
          <w:rFonts w:ascii="Times New Roman" w:hAnsi="Times New Roman" w:cs="Times New Roman"/>
          <w:szCs w:val="21"/>
        </w:rPr>
        <w:t>3.11Safety inspection and hidden trouble rectification</w:t>
      </w:r>
      <w:r>
        <w:rPr>
          <w:rFonts w:ascii="Times New Roman" w:hAnsi="Times New Roman" w:cs="Times New Roman"/>
          <w:szCs w:val="21"/>
        </w:rPr>
        <w:tab/>
      </w:r>
      <w:r>
        <w:rPr>
          <w:rFonts w:ascii="Times New Roman" w:hAnsi="Times New Roman" w:cs="Times New Roman"/>
          <w:szCs w:val="21"/>
        </w:rPr>
        <w:t>6</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"_Toc3932" </w:instrText>
      </w:r>
      <w:r>
        <w:fldChar w:fldCharType="separate"/>
      </w:r>
      <w:r>
        <w:rPr>
          <w:rFonts w:ascii="Times New Roman" w:hAnsi="Times New Roman" w:cs="Times New Roman"/>
          <w:szCs w:val="21"/>
        </w:rPr>
        <w:t>4 Safety management of LPG storage and distribution station</w:t>
      </w:r>
      <w:r>
        <w:rPr>
          <w:rFonts w:ascii="Times New Roman" w:hAnsi="Times New Roman" w:cs="Times New Roman"/>
          <w:szCs w:val="21"/>
        </w:rPr>
        <w:tab/>
      </w:r>
      <w:r>
        <w:rPr>
          <w:rFonts w:ascii="Times New Roman" w:hAnsi="Times New Roman" w:cs="Times New Roman"/>
          <w:szCs w:val="21"/>
        </w:rPr>
        <w:t>6</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"_Toc15202" </w:instrText>
      </w:r>
      <w:r>
        <w:fldChar w:fldCharType="separate"/>
      </w:r>
      <w:r>
        <w:rPr>
          <w:rFonts w:ascii="Times New Roman" w:hAnsi="Times New Roman" w:cs="Times New Roman"/>
          <w:bCs/>
          <w:szCs w:val="21"/>
        </w:rPr>
        <w:t>4.1 Basic management of safety production</w:t>
      </w:r>
      <w:r>
        <w:rPr>
          <w:rFonts w:ascii="Times New Roman" w:hAnsi="Times New Roman" w:cs="Times New Roman"/>
          <w:szCs w:val="21"/>
        </w:rPr>
        <w:tab/>
      </w:r>
      <w:r>
        <w:rPr>
          <w:rFonts w:ascii="Times New Roman" w:hAnsi="Times New Roman" w:cs="Times New Roman"/>
          <w:szCs w:val="21"/>
        </w:rPr>
        <w:t>6</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"_Toc24145" </w:instrText>
      </w:r>
      <w:r>
        <w:fldChar w:fldCharType="separate"/>
      </w:r>
      <w:r>
        <w:rPr>
          <w:rFonts w:ascii="Times New Roman" w:hAnsi="Times New Roman" w:cs="Times New Roman"/>
          <w:bCs/>
          <w:szCs w:val="21"/>
        </w:rPr>
        <w:t>4.2 Site safety management</w:t>
      </w:r>
      <w:r>
        <w:rPr>
          <w:rFonts w:ascii="Times New Roman" w:hAnsi="Times New Roman" w:cs="Times New Roman"/>
          <w:szCs w:val="21"/>
        </w:rPr>
        <w:tab/>
      </w:r>
      <w:r>
        <w:rPr>
          <w:rFonts w:ascii="Times New Roman" w:hAnsi="Times New Roman" w:cs="Times New Roman"/>
          <w:szCs w:val="21"/>
        </w:rPr>
        <w:t>7</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"_Toc29554" </w:instrText>
      </w:r>
      <w:r>
        <w:fldChar w:fldCharType="separate"/>
      </w:r>
      <w:r>
        <w:rPr>
          <w:rFonts w:ascii="Times New Roman" w:hAnsi="Times New Roman" w:cs="Times New Roman"/>
          <w:bCs/>
          <w:szCs w:val="21"/>
        </w:rPr>
        <w:t>5 Liquefied petroleum gas bottle supply security management</w:t>
      </w:r>
      <w:r>
        <w:rPr>
          <w:rFonts w:ascii="Times New Roman" w:hAnsi="Times New Roman" w:cs="Times New Roman"/>
          <w:szCs w:val="21"/>
        </w:rPr>
        <w:tab/>
      </w:r>
      <w:r>
        <w:rPr>
          <w:rFonts w:ascii="Times New Roman" w:hAnsi="Times New Roman" w:cs="Times New Roman"/>
          <w:szCs w:val="21"/>
        </w:rPr>
        <w:t>7</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"_Toc8560" </w:instrText>
      </w:r>
      <w:r>
        <w:fldChar w:fldCharType="separate"/>
      </w:r>
      <w:r>
        <w:rPr>
          <w:rFonts w:ascii="Times New Roman" w:hAnsi="Times New Roman" w:cs="Times New Roman"/>
          <w:szCs w:val="21"/>
        </w:rPr>
        <w:t>5.1 Safety management of primary supply station, secondary supply station, tertiary supply station and convenience service department</w:t>
      </w:r>
      <w:r>
        <w:rPr>
          <w:rFonts w:ascii="Times New Roman" w:hAnsi="Times New Roman" w:cs="Times New Roman"/>
          <w:szCs w:val="21"/>
        </w:rPr>
        <w:tab/>
      </w:r>
      <w:r>
        <w:rPr>
          <w:rFonts w:ascii="Times New Roman" w:hAnsi="Times New Roman" w:cs="Times New Roman"/>
          <w:szCs w:val="21"/>
        </w:rPr>
        <w:t>8</w:t>
      </w:r>
      <w:r>
        <w:rPr>
          <w:rFonts w:ascii="Times New Roman" w:hAnsi="Times New Roman" w:cs="Times New Roman"/>
          <w:szCs w:val="21"/>
        </w:rPr>
        <w:fldChar w:fldCharType="end"/>
      </w:r>
    </w:p>
    <w:p>
      <w:pPr>
        <w:pStyle w:val="8"/>
        <w:tabs>
          <w:tab w:val="right" w:leader="dot" w:pos="8312"/>
        </w:tabs>
        <w:spacing w:line="400" w:lineRule="atLeast"/>
        <w:rPr>
          <w:rFonts w:ascii="Times New Roman" w:hAnsi="Times New Roman" w:cs="Times New Roman"/>
          <w:szCs w:val="21"/>
        </w:rPr>
      </w:pPr>
      <w:r>
        <w:fldChar w:fldCharType="begin"/>
      </w:r>
      <w:r>
        <w:instrText xml:space="preserve"> HYPERLINK \l "_Toc22983" </w:instrText>
      </w:r>
      <w:r>
        <w:fldChar w:fldCharType="separate"/>
      </w:r>
      <w:r>
        <w:rPr>
          <w:rFonts w:ascii="Times New Roman" w:hAnsi="Times New Roman" w:cs="Times New Roman"/>
          <w:bCs/>
          <w:szCs w:val="21"/>
        </w:rPr>
        <w:t>5.2 User safety management of LPG gas cylinder group</w:t>
      </w:r>
      <w:r>
        <w:rPr>
          <w:rFonts w:ascii="Times New Roman" w:hAnsi="Times New Roman" w:cs="Times New Roman"/>
          <w:szCs w:val="21"/>
        </w:rPr>
        <w:tab/>
      </w:r>
      <w:r>
        <w:rPr>
          <w:rFonts w:ascii="Times New Roman" w:hAnsi="Times New Roman" w:cs="Times New Roman"/>
          <w:szCs w:val="21"/>
        </w:rPr>
        <w:t>8</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"_Toc2687" </w:instrText>
      </w:r>
      <w:r>
        <w:fldChar w:fldCharType="separate"/>
      </w:r>
      <w:r>
        <w:rPr>
          <w:rFonts w:ascii="Times New Roman" w:hAnsi="Times New Roman" w:cs="Times New Roman"/>
          <w:szCs w:val="21"/>
        </w:rPr>
        <w:t>Appendix A: Safety supervision and inspection contents carried out by the government gas management department</w:t>
      </w:r>
      <w:r>
        <w:rPr>
          <w:rFonts w:ascii="Times New Roman" w:hAnsi="Times New Roman" w:cs="Times New Roman"/>
          <w:szCs w:val="21"/>
        </w:rPr>
        <w:tab/>
      </w:r>
      <w:r>
        <w:rPr>
          <w:rFonts w:ascii="Times New Roman" w:hAnsi="Times New Roman" w:cs="Times New Roman"/>
          <w:szCs w:val="21"/>
        </w:rPr>
        <w:t>9</w:t>
      </w:r>
      <w:r>
        <w:rPr>
          <w:rFonts w:ascii="Times New Roman" w:hAnsi="Times New Roman" w:cs="Times New Roman"/>
          <w:szCs w:val="21"/>
        </w:rPr>
        <w:fldChar w:fldCharType="end"/>
      </w:r>
    </w:p>
    <w:p>
      <w:pPr>
        <w:pStyle w:val="7"/>
        <w:tabs>
          <w:tab w:val="right" w:leader="dot" w:pos="8312"/>
        </w:tabs>
        <w:spacing w:line="400" w:lineRule="atLeast"/>
        <w:rPr>
          <w:rFonts w:ascii="Times New Roman" w:hAnsi="Times New Roman" w:cs="Times New Roman"/>
          <w:szCs w:val="21"/>
        </w:rPr>
      </w:pPr>
      <w:r>
        <w:fldChar w:fldCharType="begin"/>
      </w:r>
      <w:r>
        <w:instrText xml:space="preserve"> HYPERLINK \l "_Toc18699" </w:instrText>
      </w:r>
      <w:r>
        <w:fldChar w:fldCharType="separate"/>
      </w:r>
      <w:r>
        <w:rPr>
          <w:rFonts w:ascii="Times New Roman" w:hAnsi="Times New Roman" w:cs="Times New Roman"/>
          <w:szCs w:val="21"/>
        </w:rPr>
        <w:t>Appendix B: safety supervision and inspection</w:t>
      </w:r>
      <w:r>
        <w:rPr>
          <w:rFonts w:ascii="Times New Roman" w:hAnsi="Times New Roman" w:cs="Times New Roman"/>
          <w:szCs w:val="21"/>
        </w:rPr>
        <w:tab/>
      </w:r>
      <w:r>
        <w:rPr>
          <w:rFonts w:ascii="Times New Roman" w:hAnsi="Times New Roman" w:cs="Times New Roman"/>
          <w:szCs w:val="21"/>
        </w:rPr>
        <w:t>16</w:t>
      </w:r>
      <w:r>
        <w:rPr>
          <w:rFonts w:ascii="Times New Roman" w:hAnsi="Times New Roman" w:cs="Times New Roman"/>
          <w:szCs w:val="21"/>
        </w:rPr>
        <w:fldChar w:fldCharType="end"/>
      </w:r>
    </w:p>
    <w:p>
      <w:pPr>
        <w:pStyle w:val="26"/>
        <w:tabs>
          <w:tab w:val="right" w:leader="dot" w:pos="8312"/>
        </w:tabs>
        <w:spacing w:line="400" w:lineRule="atLeast"/>
        <w:rPr>
          <w:sz w:val="21"/>
          <w:szCs w:val="21"/>
        </w:rPr>
      </w:pPr>
      <w:r>
        <w:rPr>
          <w:szCs w:val="21"/>
        </w:rPr>
        <w:fldChar w:fldCharType="end"/>
      </w:r>
      <w:r>
        <w:fldChar w:fldCharType="begin"/>
      </w:r>
      <w:r>
        <w:instrText xml:space="preserve"> HYPERLINK \l "_Toc17551" </w:instrText>
      </w:r>
      <w:r>
        <w:fldChar w:fldCharType="separate"/>
      </w:r>
      <w:r>
        <w:rPr>
          <w:rFonts w:hint="eastAsia"/>
          <w:szCs w:val="21"/>
        </w:rPr>
        <w:t>I</w:t>
      </w:r>
      <w:r>
        <w:rPr>
          <w:szCs w:val="21"/>
        </w:rPr>
        <w:t>ption of terms used in this standard</w:t>
      </w:r>
      <w:r>
        <w:rPr>
          <w:sz w:val="21"/>
          <w:szCs w:val="21"/>
        </w:rPr>
        <w:tab/>
      </w:r>
      <w:r>
        <w:rPr>
          <w:rFonts w:hint="eastAsia"/>
          <w:sz w:val="21"/>
          <w:szCs w:val="21"/>
        </w:rPr>
        <w:t>25</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List of Quoted Standards</w:t>
      </w:r>
      <w:r>
        <w:rPr>
          <w:sz w:val="21"/>
          <w:szCs w:val="21"/>
        </w:rPr>
        <w:tab/>
      </w:r>
      <w:r>
        <w:rPr>
          <w:rFonts w:hint="eastAsia"/>
          <w:sz w:val="21"/>
          <w:szCs w:val="21"/>
        </w:rPr>
        <w:t>26</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Additoion:Explanation of Provisions</w:t>
      </w:r>
      <w:r>
        <w:rPr>
          <w:sz w:val="21"/>
          <w:szCs w:val="21"/>
        </w:rPr>
        <w:tab/>
      </w:r>
      <w:r>
        <w:rPr>
          <w:rFonts w:hint="eastAsia"/>
          <w:sz w:val="21"/>
          <w:szCs w:val="21"/>
        </w:rPr>
        <w:t>27</w:t>
      </w:r>
      <w:r>
        <w:rPr>
          <w:rFonts w:hint="eastAsia"/>
          <w:sz w:val="21"/>
          <w:szCs w:val="21"/>
        </w:rPr>
        <w:fldChar w:fldCharType="end"/>
      </w:r>
    </w:p>
    <w:p>
      <w:pPr>
        <w:spacing w:line="400" w:lineRule="atLeast"/>
        <w:jc w:val="left"/>
        <w:outlineLvl w:val="0"/>
        <w:rPr>
          <w:rFonts w:ascii="Times New Roman" w:hAnsi="Times New Roman" w:cs="Times New Roman"/>
          <w:b/>
          <w:sz w:val="28"/>
          <w:szCs w:val="28"/>
        </w:rPr>
      </w:pPr>
    </w:p>
    <w:p>
      <w:pPr>
        <w:spacing w:line="480" w:lineRule="auto"/>
        <w:outlineLvl w:val="0"/>
        <w:rPr>
          <w:rFonts w:ascii="Times New Roman" w:hAnsi="Times New Roman" w:cs="Times New Roman"/>
          <w:b/>
          <w:sz w:val="28"/>
          <w:szCs w:val="28"/>
        </w:rPr>
      </w:pPr>
    </w:p>
    <w:p>
      <w:pPr>
        <w:spacing w:line="480" w:lineRule="auto"/>
        <w:jc w:val="center"/>
        <w:outlineLvl w:val="0"/>
        <w:rPr>
          <w:rFonts w:ascii="Times New Roman" w:hAnsi="Times New Roman" w:cs="Times New Roman"/>
          <w:b/>
          <w:sz w:val="28"/>
          <w:szCs w:val="28"/>
        </w:rPr>
      </w:pPr>
    </w:p>
    <w:p>
      <w:pPr>
        <w:spacing w:line="480" w:lineRule="auto"/>
        <w:jc w:val="center"/>
        <w:outlineLvl w:val="0"/>
        <w:rPr>
          <w:rFonts w:cs="Times New Roman" w:asciiTheme="minorEastAsia" w:hAnsiTheme="minorEastAsia"/>
          <w:b/>
          <w:sz w:val="28"/>
          <w:szCs w:val="28"/>
        </w:rPr>
        <w:sectPr>
          <w:footerReference r:id="rId13" w:type="default"/>
          <w:pgSz w:w="11906" w:h="16838"/>
          <w:pgMar w:top="1440" w:right="1797" w:bottom="1383" w:left="1797" w:header="851" w:footer="992" w:gutter="0"/>
          <w:pgNumType w:fmt="upperRoman"/>
          <w:cols w:space="425" w:num="1"/>
          <w:docGrid w:type="lines" w:linePitch="312" w:charSpace="0"/>
        </w:sectPr>
      </w:pPr>
    </w:p>
    <w:p>
      <w:pPr>
        <w:spacing w:line="480" w:lineRule="auto"/>
        <w:jc w:val="center"/>
        <w:outlineLvl w:val="0"/>
        <w:rPr>
          <w:rFonts w:cs="Times New Roman" w:asciiTheme="minorEastAsia" w:hAnsiTheme="minorEastAsia"/>
          <w:b/>
          <w:sz w:val="28"/>
          <w:szCs w:val="28"/>
        </w:rPr>
      </w:pPr>
      <w:r>
        <w:rPr>
          <w:rFonts w:cs="Times New Roman" w:asciiTheme="minorEastAsia" w:hAnsiTheme="minorEastAsia"/>
          <w:b/>
          <w:sz w:val="28"/>
          <w:szCs w:val="28"/>
        </w:rPr>
        <w:t>1  总则</w:t>
      </w:r>
      <w:bookmarkEnd w:id="0"/>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1.0.1为了规范</w:t>
      </w:r>
      <w:r>
        <w:rPr>
          <w:rFonts w:cs="Times New Roman" w:asciiTheme="minorEastAsia" w:hAnsiTheme="minorEastAsia"/>
          <w:sz w:val="24"/>
          <w:szCs w:val="24"/>
        </w:rPr>
        <w:t>液化石油气运营企业的</w:t>
      </w:r>
      <w:r>
        <w:rPr>
          <w:rFonts w:hint="eastAsia" w:asciiTheme="minorEastAsia" w:hAnsiTheme="minorEastAsia"/>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Theme="minorEastAsia" w:hAnsiTheme="minorEastAsia"/>
          <w:sz w:val="24"/>
          <w:szCs w:val="24"/>
        </w:rPr>
      </w:pPr>
      <w:bookmarkStart w:id="1" w:name="_Toc94"/>
      <w:bookmarkStart w:id="2" w:name="_Toc18633"/>
      <w:r>
        <w:rPr>
          <w:rFonts w:cs="Times New Roman" w:asciiTheme="minorEastAsia" w:hAnsiTheme="minorEastAsia"/>
          <w:sz w:val="24"/>
          <w:szCs w:val="24"/>
        </w:rPr>
        <w:t>1.0.2</w:t>
      </w:r>
      <w:r>
        <w:rPr>
          <w:rFonts w:hint="eastAsia" w:asciiTheme="minorEastAsia" w:hAnsiTheme="minorEastAsia"/>
          <w:sz w:val="24"/>
          <w:szCs w:val="24"/>
        </w:rPr>
        <w:t>本标准适用于云南省范围内的液化石油气运营企业。</w:t>
      </w:r>
      <w:bookmarkEnd w:id="1"/>
      <w:bookmarkEnd w:id="2"/>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1.0.3</w:t>
      </w:r>
      <w:r>
        <w:rPr>
          <w:rFonts w:cs="Times New Roman" w:asciiTheme="minorEastAsia" w:hAnsiTheme="minorEastAsia"/>
          <w:sz w:val="24"/>
          <w:szCs w:val="24"/>
        </w:rPr>
        <w:t>液化石油气运营企业的</w:t>
      </w:r>
      <w:r>
        <w:rPr>
          <w:rFonts w:hint="eastAsia" w:asciiTheme="minorEastAsia" w:hAnsiTheme="minorEastAsia"/>
          <w:sz w:val="24"/>
          <w:szCs w:val="24"/>
        </w:rPr>
        <w:t>工作原则、过程和管理要求，除应符合本标准的规定外，尚应符合国家现行有关标准的规定。</w:t>
      </w: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tabs>
          <w:tab w:val="left" w:pos="6630"/>
        </w:tabs>
        <w:spacing w:line="440" w:lineRule="exact"/>
        <w:ind w:firstLine="420" w:firstLineChars="200"/>
        <w:rPr>
          <w:rFonts w:asciiTheme="minorEastAsia" w:hAnsiTheme="minorEastAsia"/>
          <w:szCs w:val="21"/>
        </w:rPr>
      </w:pPr>
      <w:r>
        <w:rPr>
          <w:rFonts w:asciiTheme="minorEastAsia" w:hAnsiTheme="minorEastAsia"/>
          <w:szCs w:val="21"/>
        </w:rPr>
        <w:tab/>
      </w: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rPr>
          <w:rFonts w:asciiTheme="minorEastAsia" w:hAnsiTheme="minorEastAsia"/>
          <w:szCs w:val="21"/>
        </w:rPr>
      </w:pPr>
    </w:p>
    <w:p>
      <w:pPr>
        <w:spacing w:line="440" w:lineRule="exact"/>
        <w:rPr>
          <w:rFonts w:asciiTheme="minorEastAsia" w:hAnsiTheme="minorEastAsia"/>
          <w:szCs w:val="21"/>
        </w:rPr>
      </w:pPr>
    </w:p>
    <w:p>
      <w:pPr>
        <w:spacing w:line="440" w:lineRule="exact"/>
        <w:rPr>
          <w:rFonts w:asciiTheme="minorEastAsia" w:hAnsiTheme="minorEastAsia"/>
          <w:szCs w:val="21"/>
        </w:rPr>
      </w:pPr>
    </w:p>
    <w:p>
      <w:pPr>
        <w:spacing w:line="480" w:lineRule="auto"/>
        <w:jc w:val="center"/>
        <w:rPr>
          <w:rFonts w:cs="Times New Roman" w:asciiTheme="minorEastAsia" w:hAnsiTheme="minorEastAsia"/>
          <w:b/>
          <w:sz w:val="28"/>
          <w:szCs w:val="28"/>
        </w:rPr>
      </w:pPr>
      <w:r>
        <w:rPr>
          <w:rFonts w:cs="Times New Roman" w:asciiTheme="minorEastAsia" w:hAnsiTheme="minorEastAsia"/>
          <w:b/>
          <w:sz w:val="28"/>
          <w:szCs w:val="28"/>
        </w:rPr>
        <w:t>2  术语</w:t>
      </w:r>
    </w:p>
    <w:p>
      <w:pPr>
        <w:spacing w:line="400" w:lineRule="atLeast"/>
        <w:rPr>
          <w:rFonts w:cs="Times New Roman" w:asciiTheme="minorEastAsia" w:hAnsiTheme="minorEastAsia"/>
          <w:sz w:val="24"/>
          <w:szCs w:val="24"/>
        </w:rPr>
      </w:pPr>
      <w:bookmarkStart w:id="3" w:name="_Toc184"/>
      <w:r>
        <w:rPr>
          <w:rFonts w:hint="eastAsia" w:cs="Times New Roman" w:asciiTheme="minorEastAsia" w:hAnsiTheme="minorEastAsia"/>
          <w:sz w:val="24"/>
          <w:szCs w:val="24"/>
        </w:rPr>
        <w:t>2.0</w:t>
      </w:r>
      <w:r>
        <w:rPr>
          <w:rFonts w:cs="Times New Roman" w:asciiTheme="minorEastAsia" w:hAnsiTheme="minorEastAsia"/>
          <w:sz w:val="24"/>
          <w:szCs w:val="24"/>
        </w:rPr>
        <w:t xml:space="preserve">.1 </w:t>
      </w:r>
      <w:r>
        <w:rPr>
          <w:rFonts w:hint="eastAsia" w:cs="Times New Roman" w:asciiTheme="minorEastAsia" w:hAnsiTheme="minorEastAsia"/>
          <w:sz w:val="24"/>
          <w:szCs w:val="24"/>
        </w:rPr>
        <w:t xml:space="preserve">城镇燃气 </w:t>
      </w:r>
      <w:r>
        <w:rPr>
          <w:rFonts w:ascii="Times New Roman" w:hAnsi="Times New Roman" w:cs="Times New Roman"/>
          <w:sz w:val="24"/>
          <w:szCs w:val="24"/>
        </w:rPr>
        <w:t>city gas</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从城市、乡镇或居民点中的地区性气源点，通过输配系统供给居民生活、商业、工业企业生产、采暖通风和空调等各类用户公用性质的，且符合</w:t>
      </w:r>
      <w:r>
        <w:rPr>
          <w:rFonts w:ascii="Times New Roman" w:hAnsi="Times New Roman" w:cs="Times New Roman"/>
          <w:sz w:val="24"/>
          <w:szCs w:val="24"/>
        </w:rPr>
        <w:t>GB 50028</w:t>
      </w:r>
      <w:r>
        <w:rPr>
          <w:rFonts w:hint="eastAsia" w:cs="Times New Roman" w:asciiTheme="minorEastAsia" w:hAnsiTheme="minorEastAsia"/>
          <w:sz w:val="24"/>
          <w:szCs w:val="24"/>
        </w:rPr>
        <w:t>燃气质量要求的可燃气体。城镇燃气一般包括天然气、液化石油气和人工煤气等。</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2.0.2</w:t>
      </w:r>
      <w:r>
        <w:rPr>
          <w:rFonts w:cs="Times New Roman" w:asciiTheme="minorEastAsia" w:hAnsiTheme="minorEastAsia"/>
          <w:sz w:val="24"/>
          <w:szCs w:val="24"/>
        </w:rPr>
        <w:t>液化石油气</w:t>
      </w:r>
      <w:bookmarkEnd w:id="3"/>
      <w:r>
        <w:rPr>
          <w:rFonts w:ascii="Times New Roman" w:hAnsi="Times New Roman" w:cs="Times New Roman"/>
          <w:sz w:val="24"/>
          <w:szCs w:val="24"/>
        </w:rPr>
        <w:t>liquefied petroleum gas</w:t>
      </w:r>
      <w:r>
        <w:rPr>
          <w:rFonts w:ascii="Times New Roman" w:cs="Times New Roman" w:hAnsiTheme="minorEastAsia"/>
          <w:sz w:val="24"/>
          <w:szCs w:val="24"/>
        </w:rPr>
        <w:t>（</w:t>
      </w:r>
      <w:r>
        <w:rPr>
          <w:rFonts w:ascii="Times New Roman" w:hAnsi="Times New Roman" w:cs="Times New Roman"/>
          <w:sz w:val="24"/>
          <w:szCs w:val="24"/>
        </w:rPr>
        <w:t>LPG</w:t>
      </w:r>
      <w:r>
        <w:rPr>
          <w:rFonts w:ascii="Times New Roman" w:cs="Times New Roman" w:hAnsiTheme="minorEastAsia"/>
          <w:sz w:val="24"/>
          <w:szCs w:val="24"/>
        </w:rPr>
        <w:t>）</w:t>
      </w:r>
    </w:p>
    <w:p>
      <w:pPr>
        <w:spacing w:line="400" w:lineRule="atLeast"/>
        <w:ind w:firstLine="480" w:firstLineChars="200"/>
        <w:rPr>
          <w:rFonts w:cs="Times New Roman" w:asciiTheme="minorEastAsia" w:hAnsiTheme="minorEastAsia"/>
          <w:sz w:val="24"/>
          <w:szCs w:val="24"/>
        </w:rPr>
      </w:pPr>
      <w:r>
        <w:rPr>
          <w:rFonts w:cs="Times New Roman" w:asciiTheme="minorEastAsia" w:hAnsiTheme="minorEastAsia"/>
          <w:sz w:val="24"/>
          <w:szCs w:val="24"/>
        </w:rPr>
        <w:t>在炼油厂内，由天然气或者石油进行加压降温液化所得到的一种无色挥发性液体。经由炼油厂所得到的液化石油气主要组成成分为丙烷、丙烯、丁烷、丁烯中的一种或者两种，而且其还掺杂着少量戊烷、戊烯和微量的硫化物杂质。</w:t>
      </w:r>
    </w:p>
    <w:p>
      <w:pPr>
        <w:spacing w:line="400" w:lineRule="atLeast"/>
        <w:outlineLvl w:val="0"/>
        <w:rPr>
          <w:rFonts w:cs="Times New Roman" w:asciiTheme="minorEastAsia" w:hAnsiTheme="minorEastAsia"/>
          <w:sz w:val="24"/>
          <w:szCs w:val="24"/>
        </w:rPr>
      </w:pPr>
      <w:bookmarkStart w:id="4" w:name="_Toc14982"/>
      <w:bookmarkStart w:id="5" w:name="_Toc31648"/>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3</w:t>
      </w:r>
      <w:r>
        <w:rPr>
          <w:rFonts w:cs="Times New Roman" w:asciiTheme="minorEastAsia" w:hAnsiTheme="minorEastAsia"/>
          <w:sz w:val="24"/>
          <w:szCs w:val="24"/>
        </w:rPr>
        <w:t>液化石油气供应站</w:t>
      </w:r>
      <w:bookmarkEnd w:id="4"/>
      <w:bookmarkEnd w:id="5"/>
      <w:r>
        <w:rPr>
          <w:rFonts w:ascii="Times New Roman" w:hAnsi="Times New Roman" w:cs="Times New Roman"/>
          <w:sz w:val="24"/>
          <w:szCs w:val="24"/>
        </w:rPr>
        <w:t>liquefied petroleum gas supply station</w:t>
      </w:r>
    </w:p>
    <w:p>
      <w:pPr>
        <w:spacing w:line="400" w:lineRule="atLeast"/>
        <w:ind w:firstLine="480" w:firstLineChars="200"/>
        <w:rPr>
          <w:rFonts w:cs="Times New Roman" w:asciiTheme="minorEastAsia" w:hAnsiTheme="minorEastAsia"/>
          <w:sz w:val="24"/>
          <w:szCs w:val="24"/>
        </w:rPr>
      </w:pPr>
      <w:r>
        <w:rPr>
          <w:rFonts w:cs="Times New Roman" w:asciiTheme="minorEastAsia" w:hAnsiTheme="minorEastAsia"/>
          <w:sz w:val="24"/>
          <w:szCs w:val="24"/>
        </w:rPr>
        <w:t>集储存、装卸、灌装、气化、混气、配送等功能为一体，以储配、气化</w:t>
      </w:r>
      <w:r>
        <w:rPr>
          <w:rFonts w:hint="eastAsia" w:cs="Times New Roman" w:asciiTheme="minorEastAsia" w:hAnsiTheme="minorEastAsia"/>
          <w:sz w:val="24"/>
          <w:szCs w:val="24"/>
        </w:rPr>
        <w:t>（</w:t>
      </w:r>
      <w:r>
        <w:rPr>
          <w:rFonts w:cs="Times New Roman" w:asciiTheme="minorEastAsia" w:hAnsiTheme="minorEastAsia"/>
          <w:sz w:val="24"/>
          <w:szCs w:val="24"/>
        </w:rPr>
        <w:t>混气</w:t>
      </w:r>
      <w:r>
        <w:rPr>
          <w:rFonts w:hint="eastAsia" w:cs="Times New Roman" w:asciiTheme="minorEastAsia" w:hAnsiTheme="minorEastAsia"/>
          <w:sz w:val="24"/>
          <w:szCs w:val="24"/>
        </w:rPr>
        <w:t>）</w:t>
      </w:r>
      <w:r>
        <w:rPr>
          <w:rFonts w:cs="Times New Roman" w:asciiTheme="minorEastAsia" w:hAnsiTheme="minorEastAsia"/>
          <w:sz w:val="24"/>
          <w:szCs w:val="24"/>
        </w:rPr>
        <w:t>或经营液化石油气为目的的专门场所，是液化石油气厂站的总称。</w:t>
      </w:r>
      <w:r>
        <w:rPr>
          <w:rFonts w:hint="eastAsia" w:cs="Times New Roman" w:asciiTheme="minorEastAsia" w:hAnsiTheme="minorEastAsia"/>
          <w:sz w:val="24"/>
          <w:szCs w:val="24"/>
        </w:rPr>
        <w:t>包括</w:t>
      </w:r>
      <w:r>
        <w:rPr>
          <w:rFonts w:cs="Times New Roman" w:asciiTheme="minorEastAsia" w:hAnsiTheme="minorEastAsia"/>
          <w:sz w:val="24"/>
          <w:szCs w:val="24"/>
        </w:rPr>
        <w:t>储配站、灌装站、气化站、混气站、瓶组气化站和瓶装供应站。</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2.0.4 液化石油气储存站 </w:t>
      </w:r>
      <w:r>
        <w:rPr>
          <w:rFonts w:ascii="Times New Roman" w:hAnsi="Times New Roman" w:cs="Times New Roman"/>
          <w:sz w:val="24"/>
          <w:szCs w:val="24"/>
        </w:rPr>
        <w:t>liquefied petroleum gas storage station</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由储存和装卸设备组成，以储存为主，并向灌装站、气化站和混气站配送液化石油气为主要功能的专门场所。</w:t>
      </w:r>
    </w:p>
    <w:p>
      <w:pPr>
        <w:spacing w:line="400" w:lineRule="atLeast"/>
        <w:outlineLvl w:val="0"/>
        <w:rPr>
          <w:rFonts w:ascii="Times New Roman" w:hAnsi="Times New Roman" w:cs="Times New Roman"/>
          <w:sz w:val="24"/>
          <w:szCs w:val="24"/>
        </w:rPr>
      </w:pPr>
      <w:bookmarkStart w:id="6" w:name="_Toc14904"/>
      <w:bookmarkStart w:id="7" w:name="_Toc20682"/>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5</w:t>
      </w:r>
      <w:r>
        <w:rPr>
          <w:rFonts w:cs="Times New Roman" w:asciiTheme="minorEastAsia" w:hAnsiTheme="minorEastAsia"/>
          <w:sz w:val="24"/>
          <w:szCs w:val="24"/>
        </w:rPr>
        <w:t>液化石油气储配站</w:t>
      </w:r>
      <w:bookmarkEnd w:id="6"/>
      <w:bookmarkEnd w:id="7"/>
      <w:r>
        <w:rPr>
          <w:rFonts w:ascii="Times New Roman" w:hAnsi="Times New Roman" w:cs="Times New Roman"/>
          <w:sz w:val="24"/>
          <w:szCs w:val="24"/>
        </w:rPr>
        <w:t>liquefied petroleum gasstorage and distribution station</w:t>
      </w:r>
    </w:p>
    <w:p>
      <w:pPr>
        <w:spacing w:line="400" w:lineRule="atLeast"/>
        <w:ind w:firstLine="480" w:firstLineChars="200"/>
        <w:rPr>
          <w:rFonts w:cs="Times New Roman" w:asciiTheme="minorEastAsia" w:hAnsiTheme="minorEastAsia"/>
          <w:sz w:val="24"/>
          <w:szCs w:val="24"/>
        </w:rPr>
      </w:pPr>
      <w:r>
        <w:rPr>
          <w:rFonts w:cs="Times New Roman" w:asciiTheme="minorEastAsia" w:hAnsiTheme="minorEastAsia"/>
          <w:sz w:val="24"/>
          <w:szCs w:val="24"/>
        </w:rPr>
        <w:t>由储存、灌装和装卸设备组成，主要作用是储存液化石油气，同时具有液化石油气灌装作业功能的场所。</w:t>
      </w:r>
    </w:p>
    <w:p>
      <w:pPr>
        <w:spacing w:line="400" w:lineRule="atLeast"/>
        <w:outlineLvl w:val="0"/>
        <w:rPr>
          <w:rFonts w:ascii="Times New Roman" w:hAnsi="Times New Roman" w:cs="Times New Roman"/>
          <w:sz w:val="24"/>
          <w:szCs w:val="24"/>
        </w:rPr>
      </w:pPr>
      <w:bookmarkStart w:id="8" w:name="_Toc13728"/>
      <w:bookmarkStart w:id="9" w:name="_Toc23227"/>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6</w:t>
      </w:r>
      <w:r>
        <w:rPr>
          <w:rFonts w:cs="Times New Roman" w:asciiTheme="minorEastAsia" w:hAnsiTheme="minorEastAsia"/>
          <w:sz w:val="24"/>
          <w:szCs w:val="24"/>
        </w:rPr>
        <w:t>液化石油气瓶装供应站</w:t>
      </w:r>
      <w:bookmarkEnd w:id="8"/>
      <w:bookmarkEnd w:id="9"/>
      <w:r>
        <w:rPr>
          <w:rFonts w:ascii="Times New Roman" w:hAnsi="Times New Roman" w:cs="Times New Roman"/>
          <w:sz w:val="24"/>
          <w:szCs w:val="24"/>
        </w:rPr>
        <w:t>liquefied petroleum gas cylinder Supply Station</w:t>
      </w:r>
    </w:p>
    <w:p>
      <w:pPr>
        <w:spacing w:line="400" w:lineRule="atLeast"/>
        <w:ind w:firstLine="480" w:firstLineChars="200"/>
        <w:rPr>
          <w:rFonts w:cs="Times New Roman" w:asciiTheme="minorEastAsia" w:hAnsiTheme="minorEastAsia"/>
          <w:sz w:val="24"/>
          <w:szCs w:val="24"/>
        </w:rPr>
      </w:pPr>
      <w:r>
        <w:rPr>
          <w:rFonts w:cs="Times New Roman" w:asciiTheme="minorEastAsia" w:hAnsiTheme="minorEastAsia"/>
          <w:sz w:val="24"/>
          <w:szCs w:val="24"/>
        </w:rPr>
        <w:t>经营和储存瓶装液化石油气的专门场所。</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2.0.7 相关方 </w:t>
      </w:r>
      <w:r>
        <w:rPr>
          <w:rFonts w:ascii="Times New Roman" w:hAnsi="Times New Roman" w:cs="Times New Roman"/>
          <w:sz w:val="24"/>
          <w:szCs w:val="24"/>
        </w:rPr>
        <w:t>related parties</w:t>
      </w:r>
    </w:p>
    <w:p>
      <w:pPr>
        <w:spacing w:line="400" w:lineRule="atLeast"/>
        <w:ind w:firstLine="480" w:firstLineChars="200"/>
        <w:rPr>
          <w:rFonts w:cs="Times New Roman" w:asciiTheme="minorEastAsia" w:hAnsiTheme="minorEastAsia"/>
          <w:b/>
          <w:sz w:val="24"/>
          <w:szCs w:val="24"/>
        </w:rPr>
      </w:pPr>
      <w:r>
        <w:rPr>
          <w:rFonts w:hint="eastAsia" w:cs="Times New Roman" w:asciiTheme="minorEastAsia" w:hAnsiTheme="minorEastAsia"/>
          <w:sz w:val="24"/>
          <w:szCs w:val="24"/>
        </w:rPr>
        <w:t>与企业的安全绩效相关联或受其影响的团体或个人</w:t>
      </w: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rPr>
          <w:rFonts w:ascii="黑体" w:hAnsi="黑体" w:eastAsia="黑体" w:cs="Times New Roman"/>
          <w:b/>
          <w:sz w:val="32"/>
          <w:szCs w:val="32"/>
        </w:rPr>
      </w:pPr>
    </w:p>
    <w:p>
      <w:pPr>
        <w:spacing w:line="480" w:lineRule="auto"/>
        <w:rPr>
          <w:rFonts w:ascii="黑体" w:hAnsi="黑体" w:eastAsia="黑体" w:cs="Times New Roman"/>
          <w:b/>
          <w:sz w:val="32"/>
          <w:szCs w:val="32"/>
        </w:rPr>
      </w:pPr>
    </w:p>
    <w:p>
      <w:pPr>
        <w:spacing w:line="480" w:lineRule="auto"/>
        <w:rPr>
          <w:rFonts w:ascii="黑体" w:hAnsi="黑体" w:eastAsia="黑体" w:cs="Times New Roman"/>
          <w:b/>
          <w:sz w:val="32"/>
          <w:szCs w:val="32"/>
        </w:rPr>
      </w:pPr>
    </w:p>
    <w:p>
      <w:pPr>
        <w:spacing w:line="480" w:lineRule="auto"/>
        <w:rPr>
          <w:rFonts w:ascii="黑体" w:hAnsi="黑体" w:eastAsia="黑体" w:cs="Times New Roman"/>
          <w:b/>
          <w:sz w:val="32"/>
          <w:szCs w:val="32"/>
        </w:rPr>
      </w:pPr>
    </w:p>
    <w:p>
      <w:pPr>
        <w:spacing w:line="480" w:lineRule="auto"/>
        <w:jc w:val="center"/>
        <w:outlineLvl w:val="0"/>
        <w:rPr>
          <w:rFonts w:ascii="宋体" w:hAnsi="宋体" w:eastAsia="宋体" w:cs="宋体"/>
          <w:b/>
          <w:sz w:val="28"/>
          <w:szCs w:val="28"/>
        </w:rPr>
      </w:pPr>
      <w:bookmarkStart w:id="10" w:name="_Toc26008"/>
      <w:r>
        <w:rPr>
          <w:rFonts w:hint="eastAsia" w:ascii="宋体" w:hAnsi="宋体" w:eastAsia="宋体" w:cs="宋体"/>
          <w:b/>
          <w:sz w:val="28"/>
          <w:szCs w:val="28"/>
        </w:rPr>
        <w:t>3  液化石油气运营企业安全管理</w:t>
      </w:r>
      <w:bookmarkEnd w:id="10"/>
    </w:p>
    <w:p>
      <w:pPr>
        <w:spacing w:line="400" w:lineRule="exact"/>
        <w:jc w:val="center"/>
        <w:outlineLvl w:val="1"/>
        <w:rPr>
          <w:rFonts w:cs="Times New Roman" w:asciiTheme="minorEastAsia" w:hAnsiTheme="minorEastAsia"/>
          <w:b/>
          <w:sz w:val="24"/>
          <w:szCs w:val="24"/>
        </w:rPr>
      </w:pPr>
      <w:bookmarkStart w:id="11" w:name="_Toc24131"/>
      <w:r>
        <w:rPr>
          <w:rFonts w:cs="Times New Roman" w:asciiTheme="minorEastAsia" w:hAnsiTheme="minorEastAsia"/>
          <w:b/>
          <w:sz w:val="24"/>
          <w:szCs w:val="24"/>
        </w:rPr>
        <w:t>3.1 安全生产目标方针管理</w:t>
      </w:r>
      <w:bookmarkEnd w:id="11"/>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 安全生产方针</w:t>
      </w:r>
    </w:p>
    <w:p>
      <w:pPr>
        <w:spacing w:line="400" w:lineRule="atLeast"/>
        <w:ind w:firstLine="360" w:firstLineChars="150"/>
        <w:rPr>
          <w:rFonts w:cs="Times New Roman" w:asciiTheme="minorEastAsia" w:hAnsiTheme="minorEastAsia"/>
          <w:b/>
          <w:sz w:val="24"/>
          <w:szCs w:val="24"/>
        </w:rPr>
      </w:pPr>
      <w:r>
        <w:rPr>
          <w:rFonts w:cs="Times New Roman" w:asciiTheme="minorEastAsia" w:hAnsiTheme="minorEastAsia"/>
          <w:sz w:val="24"/>
          <w:szCs w:val="24"/>
        </w:rPr>
        <w:t>企业应坚持国家</w:t>
      </w:r>
      <w:r>
        <w:rPr>
          <w:rFonts w:hint="eastAsia" w:cs="Times New Roman" w:asciiTheme="minorEastAsia" w:hAnsiTheme="minorEastAsia"/>
          <w:sz w:val="24"/>
          <w:szCs w:val="24"/>
        </w:rPr>
        <w:t>“</w:t>
      </w:r>
      <w:r>
        <w:rPr>
          <w:rFonts w:cs="Times New Roman" w:asciiTheme="minorEastAsia" w:hAnsiTheme="minorEastAsia"/>
          <w:sz w:val="24"/>
          <w:szCs w:val="24"/>
        </w:rPr>
        <w:t>安全第一，预防为主，综合治理</w:t>
      </w:r>
      <w:r>
        <w:rPr>
          <w:rFonts w:hint="eastAsia" w:cs="Times New Roman" w:asciiTheme="minorEastAsia" w:hAnsiTheme="minorEastAsia"/>
          <w:sz w:val="24"/>
          <w:szCs w:val="24"/>
        </w:rPr>
        <w:t>”</w:t>
      </w:r>
      <w:r>
        <w:rPr>
          <w:rFonts w:cs="Times New Roman" w:asciiTheme="minorEastAsia" w:hAnsiTheme="minorEastAsia"/>
          <w:sz w:val="24"/>
          <w:szCs w:val="24"/>
        </w:rPr>
        <w:t>的安全生产方针。主要负责人应依据国家法律法规，结合企业实际，组织制定制度化的企业安全生产方针、政策。</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 xml:space="preserve"> 年度目标与计划应符合下列规定：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企业应</w:t>
      </w:r>
      <w:r>
        <w:rPr>
          <w:rFonts w:hint="eastAsia" w:cs="Times New Roman" w:asciiTheme="minorEastAsia" w:hAnsiTheme="minorEastAsia"/>
          <w:sz w:val="24"/>
          <w:szCs w:val="24"/>
        </w:rPr>
        <w:t>确定</w:t>
      </w:r>
      <w:r>
        <w:rPr>
          <w:rFonts w:cs="Times New Roman" w:asciiTheme="minorEastAsia" w:hAnsiTheme="minorEastAsia"/>
          <w:sz w:val="24"/>
          <w:szCs w:val="24"/>
        </w:rPr>
        <w:t>量化的年度安全工作目标，逐级签订各级安全目标责任书，将其覆盖到各个管理层和岗位，并定期进行考核。</w:t>
      </w:r>
      <w:r>
        <w:rPr>
          <w:rFonts w:cs="Times New Roman" w:asciiTheme="minorEastAsia" w:hAnsiTheme="minorEastAsia"/>
          <w:sz w:val="24"/>
          <w:szCs w:val="24"/>
        </w:rPr>
        <w:cr/>
      </w:r>
      <w:r>
        <w:rPr>
          <w:rFonts w:hint="eastAsia" w:cs="Times New Roman" w:asciiTheme="minorEastAsia" w:hAnsiTheme="minorEastAsia"/>
          <w:sz w:val="24"/>
          <w:szCs w:val="24"/>
        </w:rPr>
        <w:t xml:space="preserve">   2</w:t>
      </w:r>
      <w:r>
        <w:rPr>
          <w:rFonts w:cs="Times New Roman" w:asciiTheme="minorEastAsia" w:hAnsiTheme="minorEastAsia"/>
          <w:sz w:val="24"/>
          <w:szCs w:val="24"/>
        </w:rPr>
        <w:t>企业应制定年度安全工作计划，以保证年度安全目标能有效完成。</w:t>
      </w:r>
    </w:p>
    <w:p>
      <w:pPr>
        <w:spacing w:line="40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 xml:space="preserve">3 </w:t>
      </w:r>
      <w:r>
        <w:rPr>
          <w:rFonts w:hint="eastAsia" w:cs="Times New Roman" w:asciiTheme="minorEastAsia" w:hAnsiTheme="minorEastAsia"/>
          <w:sz w:val="24"/>
          <w:szCs w:val="24"/>
        </w:rPr>
        <w:t>企业应制定年度环境保护、职业健康管理目标。</w:t>
      </w:r>
    </w:p>
    <w:p>
      <w:pPr>
        <w:spacing w:line="400" w:lineRule="exact"/>
        <w:jc w:val="center"/>
        <w:outlineLvl w:val="1"/>
        <w:rPr>
          <w:rFonts w:cs="Times New Roman" w:asciiTheme="minorEastAsia" w:hAnsiTheme="minorEastAsia"/>
          <w:b/>
          <w:sz w:val="24"/>
          <w:szCs w:val="24"/>
        </w:rPr>
      </w:pPr>
      <w:bookmarkStart w:id="12" w:name="_Toc19757"/>
      <w:r>
        <w:rPr>
          <w:rFonts w:cs="Times New Roman" w:asciiTheme="minorEastAsia" w:hAnsiTheme="minorEastAsia"/>
          <w:b/>
          <w:sz w:val="24"/>
          <w:szCs w:val="24"/>
        </w:rPr>
        <w:t>3.2 安全生产管理机构</w:t>
      </w:r>
      <w:bookmarkEnd w:id="12"/>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2.1</w:t>
      </w:r>
      <w:r>
        <w:rPr>
          <w:rFonts w:cs="Times New Roman" w:asciiTheme="minorEastAsia" w:hAnsiTheme="minorEastAsia"/>
          <w:sz w:val="24"/>
          <w:szCs w:val="24"/>
        </w:rPr>
        <w:t>企业</w:t>
      </w:r>
      <w:r>
        <w:rPr>
          <w:rFonts w:hint="eastAsia" w:cs="Times New Roman" w:asciiTheme="minorEastAsia" w:hAnsiTheme="minorEastAsia"/>
          <w:sz w:val="24"/>
          <w:szCs w:val="24"/>
        </w:rPr>
        <w:t>生产经营</w:t>
      </w:r>
      <w:r>
        <w:rPr>
          <w:rFonts w:cs="Times New Roman" w:asciiTheme="minorEastAsia" w:hAnsiTheme="minorEastAsia"/>
          <w:sz w:val="24"/>
          <w:szCs w:val="24"/>
        </w:rPr>
        <w:t>活动应符合核准许可范围，无超范围或超期经营，无违规转让</w:t>
      </w:r>
      <w:r>
        <w:rPr>
          <w:rFonts w:hint="eastAsia" w:cs="Times New Roman" w:asciiTheme="minorEastAsia" w:hAnsiTheme="minorEastAsia"/>
          <w:sz w:val="24"/>
          <w:szCs w:val="24"/>
        </w:rPr>
        <w:t>、出租</w:t>
      </w:r>
      <w:r>
        <w:rPr>
          <w:rFonts w:cs="Times New Roman" w:asciiTheme="minorEastAsia" w:hAnsiTheme="minorEastAsia"/>
          <w:sz w:val="24"/>
          <w:szCs w:val="24"/>
        </w:rPr>
        <w:t>证照等行为。</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3.2.2 企业应设置专门的安全管理机构或配备有专职安全生产管理人员，并应按规定配备注册安全工程师。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3.2.3 企业应按照规定，结合实际情况，建立从安全生产委员会（领导小组）到基层班组的安全生产管理网络。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3.2.4企业应层层建立安全生产例会制度。安全生产会议应形成会议纪要，会议纪要应下发至各单位，各单位对相关要求进行落实。</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3.2.5 企业安全管理部门应存档保存好安全生产委员会会议记录或纪要以及安全生产委员会决议落实情况的相关资料。</w:t>
      </w:r>
    </w:p>
    <w:p>
      <w:pPr>
        <w:spacing w:line="440" w:lineRule="exact"/>
        <w:jc w:val="center"/>
        <w:outlineLvl w:val="1"/>
        <w:rPr>
          <w:rFonts w:cs="Times New Roman" w:asciiTheme="minorEastAsia" w:hAnsiTheme="minorEastAsia"/>
          <w:b/>
          <w:sz w:val="24"/>
          <w:szCs w:val="24"/>
        </w:rPr>
      </w:pPr>
      <w:bookmarkStart w:id="13" w:name="_Toc18333"/>
      <w:r>
        <w:rPr>
          <w:rFonts w:hint="eastAsia" w:cs="Times New Roman" w:asciiTheme="minorEastAsia" w:hAnsiTheme="minorEastAsia"/>
          <w:b/>
          <w:sz w:val="24"/>
          <w:szCs w:val="24"/>
        </w:rPr>
        <w:t>3.3 人员配备要求</w:t>
      </w:r>
      <w:bookmarkEnd w:id="13"/>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3.3.1 企业</w:t>
      </w:r>
      <w:r>
        <w:rPr>
          <w:rFonts w:cs="Times New Roman" w:asciiTheme="minorEastAsia" w:hAnsiTheme="minorEastAsia"/>
          <w:sz w:val="24"/>
          <w:szCs w:val="24"/>
        </w:rPr>
        <w:t>法定代表人</w:t>
      </w:r>
      <w:r>
        <w:rPr>
          <w:rFonts w:hint="eastAsia" w:cs="Times New Roman" w:asciiTheme="minorEastAsia" w:hAnsiTheme="minorEastAsia"/>
          <w:sz w:val="24"/>
          <w:szCs w:val="24"/>
        </w:rPr>
        <w:t>（</w:t>
      </w:r>
      <w:r>
        <w:rPr>
          <w:rFonts w:cs="Times New Roman" w:asciiTheme="minorEastAsia" w:hAnsiTheme="minorEastAsia"/>
          <w:sz w:val="24"/>
          <w:szCs w:val="24"/>
        </w:rPr>
        <w:t>或实际控制人</w:t>
      </w:r>
      <w:r>
        <w:rPr>
          <w:rFonts w:hint="eastAsia" w:cs="Times New Roman" w:asciiTheme="minorEastAsia" w:hAnsiTheme="minorEastAsia"/>
          <w:sz w:val="24"/>
          <w:szCs w:val="24"/>
        </w:rPr>
        <w:t>）</w:t>
      </w:r>
      <w:r>
        <w:rPr>
          <w:rFonts w:cs="Times New Roman" w:asciiTheme="minorEastAsia" w:hAnsiTheme="minorEastAsia"/>
          <w:sz w:val="24"/>
          <w:szCs w:val="24"/>
        </w:rPr>
        <w:t>、安全生产第一责任人和直接负责人</w:t>
      </w:r>
      <w:r>
        <w:rPr>
          <w:rFonts w:hint="eastAsia" w:cs="Times New Roman" w:asciiTheme="minorEastAsia" w:hAnsiTheme="minorEastAsia"/>
          <w:sz w:val="24"/>
          <w:szCs w:val="24"/>
        </w:rPr>
        <w:t>、安全管理机构负责人、技术部门负责人、专职安全管理人员均应满足岗位所必需的任职条件。</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3.3.2 企业应按照相关法律法规的规定和要求配备安全管理人员和各岗位人员。</w:t>
      </w:r>
    </w:p>
    <w:p>
      <w:pPr>
        <w:spacing w:line="440" w:lineRule="exact"/>
        <w:jc w:val="center"/>
        <w:outlineLvl w:val="1"/>
        <w:rPr>
          <w:rFonts w:cs="Times New Roman" w:asciiTheme="minorEastAsia" w:hAnsiTheme="minorEastAsia"/>
          <w:b/>
          <w:sz w:val="24"/>
          <w:szCs w:val="24"/>
        </w:rPr>
      </w:pPr>
      <w:bookmarkStart w:id="14" w:name="_Toc19701"/>
      <w:r>
        <w:rPr>
          <w:rFonts w:hint="eastAsia" w:cs="Times New Roman" w:asciiTheme="minorEastAsia" w:hAnsiTheme="minorEastAsia"/>
          <w:b/>
          <w:sz w:val="24"/>
          <w:szCs w:val="24"/>
        </w:rPr>
        <w:t>3.4 安全生产职责</w:t>
      </w:r>
      <w:bookmarkEnd w:id="14"/>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3.4.1</w:t>
      </w:r>
      <w:r>
        <w:rPr>
          <w:rFonts w:cs="Times New Roman" w:asciiTheme="minorEastAsia" w:hAnsiTheme="minorEastAsia"/>
          <w:sz w:val="24"/>
          <w:szCs w:val="24"/>
        </w:rPr>
        <w:t>企业应建立安全生产责任制，制定安全生产委员会(领导小组)和各</w:t>
      </w:r>
      <w:r>
        <w:rPr>
          <w:rFonts w:hint="eastAsia" w:cs="Times New Roman" w:asciiTheme="minorEastAsia" w:hAnsiTheme="minorEastAsia"/>
          <w:sz w:val="24"/>
          <w:szCs w:val="24"/>
        </w:rPr>
        <w:t>单位</w:t>
      </w:r>
      <w:r>
        <w:rPr>
          <w:rFonts w:cs="Times New Roman" w:asciiTheme="minorEastAsia" w:hAnsiTheme="minorEastAsia"/>
          <w:sz w:val="24"/>
          <w:szCs w:val="24"/>
        </w:rPr>
        <w:t>的安全职责。</w:t>
      </w:r>
      <w:r>
        <w:rPr>
          <w:rFonts w:hint="eastAsia" w:cs="Times New Roman" w:asciiTheme="minorEastAsia" w:hAnsiTheme="minorEastAsia"/>
          <w:sz w:val="24"/>
          <w:szCs w:val="24"/>
        </w:rPr>
        <w:t>全员签订安全责任书。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3.4.2 </w:t>
      </w:r>
      <w:r>
        <w:rPr>
          <w:rFonts w:cs="Times New Roman" w:asciiTheme="minorEastAsia" w:hAnsiTheme="minorEastAsia"/>
          <w:sz w:val="24"/>
          <w:szCs w:val="24"/>
        </w:rPr>
        <w:t>安全生产责任制的内容应覆盖企业所有部门和人员，安全生产责任制应简练、实用，符合岗位实际要求，具有针对性和可操作性。</w:t>
      </w:r>
      <w:r>
        <w:rPr>
          <w:rFonts w:cs="Times New Roman" w:asciiTheme="minorEastAsia" w:hAnsiTheme="minorEastAsia"/>
          <w:sz w:val="24"/>
          <w:szCs w:val="24"/>
        </w:rPr>
        <w:cr/>
      </w:r>
      <w:r>
        <w:rPr>
          <w:rFonts w:hint="eastAsia" w:cs="Times New Roman" w:asciiTheme="minorEastAsia" w:hAnsiTheme="minorEastAsia"/>
          <w:sz w:val="24"/>
          <w:szCs w:val="24"/>
        </w:rPr>
        <w:t>3.4.3</w:t>
      </w:r>
      <w:r>
        <w:rPr>
          <w:rFonts w:cs="Times New Roman" w:asciiTheme="minorEastAsia" w:hAnsiTheme="minorEastAsia"/>
          <w:sz w:val="24"/>
          <w:szCs w:val="24"/>
        </w:rPr>
        <w:t>企业应对各级管理部门、管理人员及从业人员安全职责的履行情况和安全生产责任制的落实情况进行</w:t>
      </w:r>
      <w:r>
        <w:rPr>
          <w:rFonts w:hint="eastAsia" w:cs="Times New Roman" w:asciiTheme="minorEastAsia" w:hAnsiTheme="minorEastAsia"/>
          <w:sz w:val="24"/>
          <w:szCs w:val="24"/>
        </w:rPr>
        <w:t>定期考核</w:t>
      </w:r>
      <w:r>
        <w:rPr>
          <w:rFonts w:cs="Times New Roman" w:asciiTheme="minorEastAsia" w:hAnsiTheme="minorEastAsia"/>
          <w:sz w:val="24"/>
          <w:szCs w:val="24"/>
        </w:rPr>
        <w:t>考核。</w:t>
      </w:r>
    </w:p>
    <w:p>
      <w:pPr>
        <w:spacing w:line="440" w:lineRule="exact"/>
        <w:jc w:val="center"/>
        <w:outlineLvl w:val="1"/>
        <w:rPr>
          <w:rFonts w:cs="Times New Roman" w:asciiTheme="minorEastAsia" w:hAnsiTheme="minorEastAsia"/>
          <w:b/>
          <w:sz w:val="24"/>
          <w:szCs w:val="24"/>
        </w:rPr>
      </w:pPr>
      <w:bookmarkStart w:id="15" w:name="_Toc16480"/>
      <w:r>
        <w:rPr>
          <w:rFonts w:hint="eastAsia" w:cs="Times New Roman" w:asciiTheme="minorEastAsia" w:hAnsiTheme="minorEastAsia"/>
          <w:b/>
          <w:sz w:val="24"/>
          <w:szCs w:val="24"/>
        </w:rPr>
        <w:t>3.5 安全生产投入</w:t>
      </w:r>
      <w:bookmarkEnd w:id="15"/>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3.5.1企业应依据国家《企业安全生产费用提取和使用管理办法》的有关规定，提取符合要求的安全生产费用，专项用于安全生产。</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3.5.2企业应建立安全生产费用科目，制定安全生产费用的使用计划，建立安全生产费用科目和台账，监督管理安全投入的有效使用。</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3.5.3企业应依法为员工购买工伤保险，按时足额缴纳工伤保险费。</w:t>
      </w:r>
    </w:p>
    <w:p>
      <w:pPr>
        <w:spacing w:line="440" w:lineRule="exact"/>
        <w:jc w:val="center"/>
        <w:outlineLvl w:val="1"/>
        <w:rPr>
          <w:rFonts w:cs="Times New Roman" w:asciiTheme="minorEastAsia" w:hAnsiTheme="minorEastAsia"/>
          <w:b/>
          <w:sz w:val="24"/>
          <w:szCs w:val="24"/>
        </w:rPr>
      </w:pPr>
      <w:bookmarkStart w:id="16" w:name="_Toc30582"/>
      <w:r>
        <w:rPr>
          <w:rFonts w:hint="eastAsia" w:cs="Times New Roman" w:asciiTheme="minorEastAsia" w:hAnsiTheme="minorEastAsia"/>
          <w:b/>
          <w:sz w:val="24"/>
          <w:szCs w:val="24"/>
        </w:rPr>
        <w:t>3.6 安全文化、标准化建设</w:t>
      </w:r>
      <w:bookmarkEnd w:id="16"/>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3.6.1企业应开展安全文化建设，建设活动应符合</w:t>
      </w:r>
      <w:r>
        <w:rPr>
          <w:rFonts w:ascii="Times New Roman" w:hAnsi="Times New Roman" w:cs="Times New Roman"/>
          <w:sz w:val="24"/>
          <w:szCs w:val="24"/>
        </w:rPr>
        <w:t>AQ/T 9004</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3.6.2 企业应开展安全生产标准化建设，建设活动应符合</w:t>
      </w:r>
      <w:r>
        <w:rPr>
          <w:rFonts w:ascii="Times New Roman" w:hAnsi="Times New Roman" w:cs="Times New Roman"/>
          <w:sz w:val="24"/>
          <w:szCs w:val="24"/>
        </w:rPr>
        <w:t>GB/T 33000</w:t>
      </w:r>
      <w:r>
        <w:rPr>
          <w:rFonts w:hint="eastAsia" w:cs="Times New Roman" w:asciiTheme="minorEastAsia" w:hAnsiTheme="minorEastAsia"/>
          <w:sz w:val="24"/>
          <w:szCs w:val="24"/>
        </w:rPr>
        <w:t>的要求。</w:t>
      </w:r>
    </w:p>
    <w:p>
      <w:pPr>
        <w:spacing w:line="440" w:lineRule="exact"/>
        <w:jc w:val="center"/>
        <w:outlineLvl w:val="1"/>
        <w:rPr>
          <w:rFonts w:cs="Times New Roman" w:asciiTheme="minorEastAsia" w:hAnsiTheme="minorEastAsia"/>
          <w:b/>
          <w:sz w:val="24"/>
          <w:szCs w:val="24"/>
        </w:rPr>
      </w:pPr>
      <w:bookmarkStart w:id="17" w:name="_Toc2850"/>
      <w:r>
        <w:rPr>
          <w:rFonts w:hint="eastAsia" w:cs="Times New Roman" w:asciiTheme="minorEastAsia" w:hAnsiTheme="minorEastAsia"/>
          <w:b/>
          <w:sz w:val="24"/>
          <w:szCs w:val="24"/>
        </w:rPr>
        <w:t>3.7 安全生产信息化建设</w:t>
      </w:r>
      <w:bookmarkEnd w:id="17"/>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企业应根据自身情况，利用信息化手段加强安全生产管理工作。</w:t>
      </w:r>
    </w:p>
    <w:p>
      <w:pPr>
        <w:spacing w:line="440" w:lineRule="exact"/>
        <w:jc w:val="center"/>
        <w:outlineLvl w:val="1"/>
        <w:rPr>
          <w:rFonts w:cs="Times New Roman" w:asciiTheme="minorEastAsia" w:hAnsiTheme="minorEastAsia"/>
          <w:b/>
          <w:sz w:val="24"/>
          <w:szCs w:val="24"/>
        </w:rPr>
      </w:pPr>
      <w:bookmarkStart w:id="18" w:name="_Toc7815"/>
      <w:r>
        <w:rPr>
          <w:rFonts w:hint="eastAsia" w:cs="Times New Roman" w:asciiTheme="minorEastAsia" w:hAnsiTheme="minorEastAsia"/>
          <w:b/>
          <w:sz w:val="24"/>
          <w:szCs w:val="24"/>
        </w:rPr>
        <w:t>3.8 安全管理制度和安全操作规程</w:t>
      </w:r>
      <w:bookmarkEnd w:id="18"/>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3.8.1</w:t>
      </w:r>
      <w:r>
        <w:rPr>
          <w:rFonts w:cs="Times New Roman" w:asciiTheme="minorEastAsia" w:hAnsiTheme="minorEastAsia"/>
          <w:sz w:val="24"/>
          <w:szCs w:val="24"/>
        </w:rPr>
        <w:t>企业应建立健全安全生产规章制度</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3.8.2</w:t>
      </w:r>
      <w:r>
        <w:rPr>
          <w:rFonts w:cs="Times New Roman" w:asciiTheme="minorEastAsia" w:hAnsiTheme="minorEastAsia"/>
          <w:sz w:val="24"/>
          <w:szCs w:val="24"/>
        </w:rPr>
        <w:t>企业应根据燃气储存、输配和应用工艺、技术、设备设施的特点和危险性，编制作业操作规程</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3.8.3 企业应将</w:t>
      </w:r>
      <w:r>
        <w:rPr>
          <w:rFonts w:cs="Times New Roman" w:asciiTheme="minorEastAsia" w:hAnsiTheme="minorEastAsia"/>
          <w:sz w:val="24"/>
          <w:szCs w:val="24"/>
        </w:rPr>
        <w:t>安全生产规章制度</w:t>
      </w:r>
      <w:r>
        <w:rPr>
          <w:rFonts w:hint="eastAsia" w:cs="Times New Roman" w:asciiTheme="minorEastAsia" w:hAnsiTheme="minorEastAsia"/>
          <w:sz w:val="24"/>
          <w:szCs w:val="24"/>
        </w:rPr>
        <w:t>和</w:t>
      </w:r>
      <w:r>
        <w:rPr>
          <w:rFonts w:cs="Times New Roman" w:asciiTheme="minorEastAsia" w:hAnsiTheme="minorEastAsia"/>
          <w:sz w:val="24"/>
          <w:szCs w:val="24"/>
        </w:rPr>
        <w:t>操作规程发放到相关工作岗位，并对员工进行宣贯培训。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w:t>
      </w:r>
      <w:r>
        <w:rPr>
          <w:rFonts w:cs="Times New Roman" w:asciiTheme="minorEastAsia" w:hAnsiTheme="minorEastAsia"/>
          <w:sz w:val="24"/>
          <w:szCs w:val="24"/>
        </w:rPr>
        <w:t>.4企业应定期对安全生产管理制度和安全操作规程</w:t>
      </w:r>
      <w:r>
        <w:rPr>
          <w:rFonts w:hint="eastAsia" w:cs="Times New Roman" w:asciiTheme="minorEastAsia" w:hAnsiTheme="minorEastAsia"/>
          <w:sz w:val="24"/>
          <w:szCs w:val="24"/>
        </w:rPr>
        <w:t>、维护保养规程</w:t>
      </w:r>
      <w:r>
        <w:rPr>
          <w:rFonts w:cs="Times New Roman" w:asciiTheme="minorEastAsia" w:hAnsiTheme="minorEastAsia"/>
          <w:sz w:val="24"/>
          <w:szCs w:val="24"/>
        </w:rPr>
        <w:t>的落实情况进行抽查考核。</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w:t>
      </w:r>
      <w:r>
        <w:rPr>
          <w:rFonts w:cs="Times New Roman" w:asciiTheme="minorEastAsia" w:hAnsiTheme="minorEastAsia"/>
          <w:sz w:val="24"/>
          <w:szCs w:val="24"/>
        </w:rPr>
        <w:t>.</w:t>
      </w:r>
      <w:r>
        <w:rPr>
          <w:rFonts w:hint="eastAsia" w:cs="Times New Roman" w:asciiTheme="minorEastAsia" w:hAnsiTheme="minorEastAsia"/>
          <w:sz w:val="24"/>
          <w:szCs w:val="24"/>
        </w:rPr>
        <w:t>5</w:t>
      </w:r>
      <w:r>
        <w:rPr>
          <w:rFonts w:cs="Times New Roman" w:asciiTheme="minorEastAsia" w:hAnsiTheme="minorEastAsia"/>
          <w:sz w:val="24"/>
          <w:szCs w:val="24"/>
        </w:rPr>
        <w:t>企业应根据安全检查反馈问题的评估情况、生产安全事故案例、绩效评定结果等，对安全生产管理规章制度和操作规程进行修订，确保其有效性和适用性，保证每个岗位所使用的均为有最新的有效版本。</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3.8.6 企业应建立双重防控机制，并对危险作业进行审批。</w:t>
      </w:r>
    </w:p>
    <w:p>
      <w:pPr>
        <w:spacing w:line="440" w:lineRule="exact"/>
        <w:ind w:left="120" w:hanging="120" w:hangingChars="50"/>
        <w:jc w:val="center"/>
        <w:outlineLvl w:val="1"/>
        <w:rPr>
          <w:rFonts w:cs="Times New Roman" w:asciiTheme="minorEastAsia" w:hAnsiTheme="minorEastAsia"/>
          <w:b/>
          <w:sz w:val="24"/>
          <w:szCs w:val="24"/>
        </w:rPr>
      </w:pPr>
      <w:bookmarkStart w:id="19" w:name="_Toc19849"/>
      <w:r>
        <w:rPr>
          <w:rFonts w:hint="eastAsia" w:cs="Times New Roman" w:asciiTheme="minorEastAsia" w:hAnsiTheme="minorEastAsia"/>
          <w:b/>
          <w:sz w:val="24"/>
          <w:szCs w:val="24"/>
        </w:rPr>
        <w:t>3.9 安全教育培训</w:t>
      </w:r>
      <w:bookmarkEnd w:id="19"/>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3.9.1 教育培训管理应符合下列规定：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企业应严格执行安全教育培训制度，依据国家、地方及行业规定</w:t>
      </w:r>
      <w:r>
        <w:rPr>
          <w:rFonts w:hint="eastAsia" w:cs="Times New Roman" w:asciiTheme="minorEastAsia" w:hAnsiTheme="minorEastAsia"/>
          <w:sz w:val="24"/>
          <w:szCs w:val="24"/>
        </w:rPr>
        <w:t>和</w:t>
      </w:r>
      <w:r>
        <w:rPr>
          <w:rFonts w:cs="Times New Roman" w:asciiTheme="minorEastAsia" w:hAnsiTheme="minorEastAsia"/>
          <w:sz w:val="24"/>
          <w:szCs w:val="24"/>
        </w:rPr>
        <w:t>岗位实际需要，制定适宜的安全教育培训目标和要求。定期收集、汇总安全教育培训需求，根据实际情况和培训目标，制定并实施安全教育培训计划。</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2 企业应组织安全教育培训。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 企业应建立从业人员安全培训教育台账。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 企业应对培训教育效果进行评价。</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 企业应定期开展用户安全宣传。</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3.9.2 安全生产管理人员教育培训</w:t>
      </w:r>
    </w:p>
    <w:p>
      <w:pPr>
        <w:spacing w:line="440" w:lineRule="exact"/>
        <w:ind w:left="105" w:leftChars="50" w:firstLine="240" w:firstLineChars="100"/>
        <w:rPr>
          <w:rFonts w:cs="Times New Roman" w:asciiTheme="minorEastAsia" w:hAnsiTheme="minorEastAsia"/>
          <w:sz w:val="24"/>
          <w:szCs w:val="24"/>
        </w:rPr>
      </w:pPr>
      <w:r>
        <w:rPr>
          <w:rFonts w:cs="Times New Roman" w:asciiTheme="minorEastAsia" w:hAnsiTheme="minorEastAsia"/>
          <w:sz w:val="24"/>
          <w:szCs w:val="24"/>
        </w:rPr>
        <w:t>企业主要负责人和安全生产管理人员应持证上岗，应具备与本单位所从事的生产经营活动相适应的安全生产知识和管理能力</w:t>
      </w:r>
      <w:r>
        <w:rPr>
          <w:rFonts w:hint="eastAsia" w:cs="Times New Roman" w:asciiTheme="minorEastAsia" w:hAnsiTheme="minorEastAsia"/>
          <w:sz w:val="24"/>
          <w:szCs w:val="24"/>
        </w:rPr>
        <w:t>。法律法规要求必须对其安全生产知识和管理能力进行考核的，须经考核合格后方可任职。</w:t>
      </w:r>
    </w:p>
    <w:p>
      <w:pPr>
        <w:spacing w:line="440" w:lineRule="exact"/>
        <w:ind w:left="120" w:hanging="120" w:hangingChars="50"/>
        <w:rPr>
          <w:rFonts w:cs="Times New Roman" w:asciiTheme="minorEastAsia" w:hAnsiTheme="minorEastAsia"/>
          <w:sz w:val="24"/>
          <w:szCs w:val="24"/>
        </w:rPr>
      </w:pPr>
      <w:r>
        <w:rPr>
          <w:rFonts w:hint="eastAsia" w:cs="Times New Roman" w:asciiTheme="minorEastAsia" w:hAnsiTheme="minorEastAsia"/>
          <w:sz w:val="24"/>
          <w:szCs w:val="24"/>
        </w:rPr>
        <w:t>3.9.3 操作岗位人员教育培训应符合下列规定：</w:t>
      </w:r>
    </w:p>
    <w:p>
      <w:pPr>
        <w:spacing w:line="440" w:lineRule="exac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1 企业应对操作岗位人员进行安全教育和生产技能培训，使其熟悉有关的安全生产规章制度和安全操作规程，并确认其能力符合岗位要求。未经安全教育培训，或培训考核不合格的从业人员，不得上岗作业。</w:t>
      </w:r>
    </w:p>
    <w:p>
      <w:pPr>
        <w:spacing w:line="440" w:lineRule="exac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 xml:space="preserve">2 </w:t>
      </w:r>
      <w:r>
        <w:rPr>
          <w:rFonts w:cs="Times New Roman" w:asciiTheme="minorEastAsia" w:hAnsiTheme="minorEastAsia"/>
          <w:sz w:val="24"/>
          <w:szCs w:val="24"/>
        </w:rPr>
        <w:t>新入职人员在上岗前应经过三级安全教育培训。</w:t>
      </w:r>
    </w:p>
    <w:p>
      <w:pPr>
        <w:spacing w:line="440" w:lineRule="exac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操作岗位人员转岗或离岗半年以上重新上岗者，应进行安全教育培训，经考核合格后，方可上岗。</w:t>
      </w:r>
    </w:p>
    <w:p>
      <w:pPr>
        <w:spacing w:line="440" w:lineRule="exac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在新工艺、新技术、新材料、新设备设施投入使用前，应对有关操作岗位人员进行专门的安全教育和培训，经考核合格后，方可上岗。</w:t>
      </w:r>
    </w:p>
    <w:p>
      <w:pPr>
        <w:spacing w:line="440" w:lineRule="exac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 xml:space="preserve">5 </w:t>
      </w:r>
      <w:r>
        <w:rPr>
          <w:rFonts w:cs="Times New Roman" w:asciiTheme="minorEastAsia" w:hAnsiTheme="minorEastAsia"/>
          <w:sz w:val="24"/>
          <w:szCs w:val="24"/>
        </w:rPr>
        <w:t>企业特种作业人员应按有关规定参加安全教育培训，取得特种作业操作证，方可上岗作业，并定期复审。</w:t>
      </w:r>
    </w:p>
    <w:p>
      <w:pPr>
        <w:spacing w:line="440" w:lineRule="exact"/>
        <w:rPr>
          <w:rFonts w:cs="Times New Roman" w:asciiTheme="minorEastAsia" w:hAnsiTheme="minorEastAsia"/>
          <w:sz w:val="24"/>
          <w:szCs w:val="24"/>
        </w:rPr>
      </w:pPr>
      <w:r>
        <w:rPr>
          <w:rFonts w:hint="eastAsia" w:cs="Times New Roman" w:asciiTheme="minorEastAsia" w:hAnsiTheme="minorEastAsia"/>
          <w:sz w:val="24"/>
          <w:szCs w:val="24"/>
        </w:rPr>
        <w:t>3.9.4 其他人员教育培训应符合下列规定：</w:t>
      </w:r>
    </w:p>
    <w:p>
      <w:pPr>
        <w:spacing w:line="440" w:lineRule="exac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企业应对相关方的作业人员进行安全教育培训，包括：承包商、供应商、以及临时外聘人员。</w:t>
      </w:r>
    </w:p>
    <w:p>
      <w:pPr>
        <w:spacing w:line="440" w:lineRule="exac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企业应对外来参观、学习等人员进行有关安全规定、可能接触到的危害及应急知识的教育和告知。</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 xml:space="preserve">3.9.5 </w:t>
      </w:r>
      <w:r>
        <w:rPr>
          <w:rFonts w:hint="eastAsia" w:cs="Times New Roman" w:asciiTheme="minorEastAsia" w:hAnsiTheme="minorEastAsia"/>
          <w:sz w:val="24"/>
          <w:szCs w:val="24"/>
        </w:rPr>
        <w:t>企业应</w:t>
      </w:r>
      <w:r>
        <w:rPr>
          <w:rFonts w:cs="Times New Roman" w:asciiTheme="minorEastAsia" w:hAnsiTheme="minorEastAsia"/>
          <w:sz w:val="24"/>
          <w:szCs w:val="24"/>
        </w:rPr>
        <w:t>定期开展用户安全宣传</w:t>
      </w:r>
      <w:r>
        <w:rPr>
          <w:rFonts w:hint="eastAsia" w:cs="Times New Roman" w:asciiTheme="minorEastAsia" w:hAnsiTheme="minorEastAsia"/>
          <w:sz w:val="24"/>
          <w:szCs w:val="24"/>
        </w:rPr>
        <w:t>。</w:t>
      </w:r>
    </w:p>
    <w:p>
      <w:pPr>
        <w:spacing w:line="440" w:lineRule="exact"/>
        <w:jc w:val="center"/>
        <w:outlineLvl w:val="1"/>
        <w:rPr>
          <w:rFonts w:cs="Times New Roman" w:asciiTheme="minorEastAsia" w:hAnsiTheme="minorEastAsia"/>
          <w:b/>
          <w:sz w:val="24"/>
          <w:szCs w:val="24"/>
        </w:rPr>
      </w:pPr>
      <w:bookmarkStart w:id="20" w:name="_Toc18336"/>
      <w:r>
        <w:rPr>
          <w:rFonts w:hint="eastAsia" w:cs="Times New Roman" w:asciiTheme="minorEastAsia" w:hAnsiTheme="minorEastAsia"/>
          <w:b/>
          <w:sz w:val="24"/>
          <w:szCs w:val="24"/>
        </w:rPr>
        <w:t>3.10 抢险与事故管理</w:t>
      </w:r>
      <w:bookmarkEnd w:id="20"/>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3.10.1 企业应成立抢险队，抢险队应配备专职负责人。抢险人员应经过专业技能培训并考核合格。</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3.10.2 抢险队伍应配备必备的抢险设施，并定期检查。</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3.10.3</w:t>
      </w:r>
      <w:r>
        <w:rPr>
          <w:rFonts w:cs="Times New Roman" w:asciiTheme="minorEastAsia" w:hAnsiTheme="minorEastAsia"/>
          <w:sz w:val="24"/>
          <w:szCs w:val="24"/>
        </w:rPr>
        <w:t>企业应建立应急指挥系统，实行分级管理。</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3.10.4</w:t>
      </w:r>
      <w:r>
        <w:rPr>
          <w:rFonts w:cs="Times New Roman" w:asciiTheme="minorEastAsia" w:hAnsiTheme="minorEastAsia"/>
          <w:sz w:val="24"/>
          <w:szCs w:val="24"/>
        </w:rPr>
        <w:t>企业应依据</w:t>
      </w:r>
      <w:r>
        <w:rPr>
          <w:rFonts w:ascii="Times New Roman" w:hAnsi="Times New Roman" w:cs="Times New Roman"/>
          <w:sz w:val="24"/>
          <w:szCs w:val="24"/>
        </w:rPr>
        <w:t>GB/T 29639</w:t>
      </w:r>
      <w:r>
        <w:rPr>
          <w:rFonts w:cs="Times New Roman" w:asciiTheme="minorEastAsia" w:hAnsiTheme="minorEastAsia"/>
          <w:sz w:val="24"/>
          <w:szCs w:val="24"/>
        </w:rPr>
        <w:t>的要求，制订完整的应急预案</w:t>
      </w:r>
      <w:r>
        <w:rPr>
          <w:rFonts w:hint="eastAsia" w:cs="Times New Roman" w:asciiTheme="minorEastAsia" w:hAnsiTheme="minorEastAsia"/>
          <w:sz w:val="24"/>
          <w:szCs w:val="24"/>
        </w:rPr>
        <w:t>。</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3.10.5</w:t>
      </w:r>
      <w:r>
        <w:rPr>
          <w:rFonts w:cs="Times New Roman" w:asciiTheme="minorEastAsia" w:hAnsiTheme="minorEastAsia"/>
          <w:sz w:val="24"/>
          <w:szCs w:val="24"/>
        </w:rPr>
        <w:t>针对企业抢险遇到的燃气站点事故、燃气运输事故、燃气用户事故</w:t>
      </w:r>
      <w:r>
        <w:rPr>
          <w:rFonts w:hint="eastAsia" w:cs="Times New Roman" w:asciiTheme="minorEastAsia" w:hAnsiTheme="minorEastAsia"/>
          <w:sz w:val="24"/>
          <w:szCs w:val="24"/>
        </w:rPr>
        <w:t>，</w:t>
      </w:r>
      <w:r>
        <w:rPr>
          <w:rFonts w:cs="Times New Roman" w:asciiTheme="minorEastAsia" w:hAnsiTheme="minorEastAsia"/>
          <w:sz w:val="24"/>
          <w:szCs w:val="24"/>
        </w:rPr>
        <w:t>建立完整的现场处置方案</w:t>
      </w:r>
      <w:r>
        <w:rPr>
          <w:rFonts w:hint="eastAsia" w:cs="Times New Roman" w:asciiTheme="minorEastAsia" w:hAnsiTheme="minorEastAsia"/>
          <w:sz w:val="24"/>
          <w:szCs w:val="24"/>
        </w:rPr>
        <w:t>。</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3.10.6</w:t>
      </w:r>
      <w:r>
        <w:rPr>
          <w:rFonts w:cs="Times New Roman" w:asciiTheme="minorEastAsia" w:hAnsiTheme="minorEastAsia"/>
          <w:sz w:val="24"/>
          <w:szCs w:val="24"/>
        </w:rPr>
        <w:t>企业</w:t>
      </w:r>
      <w:r>
        <w:rPr>
          <w:rFonts w:hint="eastAsia" w:cs="Times New Roman" w:asciiTheme="minorEastAsia" w:hAnsiTheme="minorEastAsia"/>
          <w:sz w:val="24"/>
          <w:szCs w:val="24"/>
        </w:rPr>
        <w:t>生产安全事故应急预案</w:t>
      </w:r>
      <w:r>
        <w:rPr>
          <w:rFonts w:cs="Times New Roman" w:asciiTheme="minorEastAsia" w:hAnsiTheme="minorEastAsia"/>
          <w:sz w:val="24"/>
          <w:szCs w:val="24"/>
        </w:rPr>
        <w:t>应按要求向相关政府部门备案</w:t>
      </w:r>
      <w:r>
        <w:rPr>
          <w:rFonts w:hint="eastAsia" w:cs="Times New Roman" w:asciiTheme="minorEastAsia" w:hAnsiTheme="minorEastAsia"/>
          <w:sz w:val="24"/>
          <w:szCs w:val="24"/>
        </w:rPr>
        <w:t>。</w:t>
      </w:r>
      <w:r>
        <w:rPr>
          <w:rFonts w:cs="Times New Roman" w:asciiTheme="minorEastAsia" w:hAnsiTheme="minorEastAsia"/>
          <w:sz w:val="24"/>
          <w:szCs w:val="24"/>
        </w:rPr>
        <w:cr/>
      </w:r>
      <w:r>
        <w:rPr>
          <w:rFonts w:hint="eastAsia" w:cs="Times New Roman" w:asciiTheme="minorEastAsia" w:hAnsiTheme="minorEastAsia"/>
          <w:sz w:val="24"/>
          <w:szCs w:val="24"/>
        </w:rPr>
        <w:t>3.10.7</w:t>
      </w:r>
      <w:r>
        <w:rPr>
          <w:rFonts w:cs="Times New Roman" w:asciiTheme="minorEastAsia" w:hAnsiTheme="minorEastAsia"/>
          <w:sz w:val="24"/>
          <w:szCs w:val="24"/>
        </w:rPr>
        <w:t>企业应定期评审修订应急救援预案。</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3.10.8 企业应定期开展安全事故应急预案培训与演练。</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3.10.9</w:t>
      </w:r>
      <w:r>
        <w:rPr>
          <w:rFonts w:cs="Times New Roman" w:asciiTheme="minorEastAsia" w:hAnsiTheme="minorEastAsia"/>
          <w:sz w:val="24"/>
          <w:szCs w:val="24"/>
        </w:rPr>
        <w:t>企业应建立事故管理台帐，明确事故报告程序。</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3.10.10</w:t>
      </w:r>
      <w:r>
        <w:rPr>
          <w:rFonts w:cs="Times New Roman" w:asciiTheme="minorEastAsia" w:hAnsiTheme="minorEastAsia"/>
          <w:sz w:val="24"/>
          <w:szCs w:val="24"/>
        </w:rPr>
        <w:t>企业发生生产安全事故后，应按照事故分类分级规定，迅速启动相应的应急救援预案，积极组织抢险与救援，妥善处理，控制事态，减少人员伤亡和财产损失。</w:t>
      </w:r>
      <w:r>
        <w:rPr>
          <w:rFonts w:cs="Times New Roman" w:asciiTheme="minorEastAsia" w:hAnsiTheme="minorEastAsia"/>
          <w:sz w:val="24"/>
          <w:szCs w:val="24"/>
        </w:rPr>
        <w:cr/>
      </w:r>
      <w:r>
        <w:rPr>
          <w:rFonts w:hint="eastAsia" w:cs="Times New Roman" w:asciiTheme="minorEastAsia" w:hAnsiTheme="minorEastAsia"/>
          <w:sz w:val="24"/>
          <w:szCs w:val="24"/>
        </w:rPr>
        <w:t>3.10.11</w:t>
      </w:r>
      <w:r>
        <w:rPr>
          <w:rFonts w:cs="Times New Roman" w:asciiTheme="minorEastAsia" w:hAnsiTheme="minorEastAsia"/>
          <w:sz w:val="24"/>
          <w:szCs w:val="24"/>
        </w:rPr>
        <w:t>企业发生生产安全事故后，应积极配合各级人民政府组织的事故调查，负责人和有关人员在事故调查期间严禁擅离职守，应当随时接受事故调查组的询问，如实提供有关情况。</w:t>
      </w:r>
    </w:p>
    <w:p>
      <w:pPr>
        <w:spacing w:line="440" w:lineRule="exact"/>
        <w:jc w:val="center"/>
        <w:outlineLvl w:val="1"/>
        <w:rPr>
          <w:rFonts w:cs="Times New Roman" w:asciiTheme="minorEastAsia" w:hAnsiTheme="minorEastAsia"/>
          <w:b/>
          <w:sz w:val="24"/>
          <w:szCs w:val="24"/>
        </w:rPr>
      </w:pPr>
      <w:bookmarkStart w:id="21" w:name="_Toc15349"/>
      <w:r>
        <w:rPr>
          <w:rFonts w:hint="eastAsia" w:cs="Times New Roman" w:asciiTheme="minorEastAsia" w:hAnsiTheme="minorEastAsia"/>
          <w:b/>
          <w:sz w:val="24"/>
          <w:szCs w:val="24"/>
        </w:rPr>
        <w:t>3.11</w:t>
      </w:r>
      <w:r>
        <w:rPr>
          <w:rFonts w:cs="Times New Roman" w:asciiTheme="minorEastAsia" w:hAnsiTheme="minorEastAsia"/>
          <w:b/>
          <w:sz w:val="24"/>
          <w:szCs w:val="24"/>
        </w:rPr>
        <w:t>安全检查</w:t>
      </w:r>
      <w:r>
        <w:rPr>
          <w:rFonts w:hint="eastAsia" w:cs="Times New Roman" w:asciiTheme="minorEastAsia" w:hAnsiTheme="minorEastAsia"/>
          <w:b/>
          <w:sz w:val="24"/>
          <w:szCs w:val="24"/>
        </w:rPr>
        <w:t>与</w:t>
      </w:r>
      <w:r>
        <w:rPr>
          <w:rFonts w:cs="Times New Roman" w:asciiTheme="minorEastAsia" w:hAnsiTheme="minorEastAsia"/>
          <w:b/>
          <w:sz w:val="24"/>
          <w:szCs w:val="24"/>
        </w:rPr>
        <w:t>隐患整改</w:t>
      </w:r>
      <w:bookmarkEnd w:id="21"/>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w:t>
      </w:r>
      <w:r>
        <w:rPr>
          <w:rFonts w:cs="Times New Roman" w:asciiTheme="minorEastAsia" w:hAnsiTheme="minorEastAsia"/>
          <w:sz w:val="24"/>
          <w:szCs w:val="24"/>
        </w:rPr>
        <w:t>.1企业应严格执行安全检查管理制度，制订各类安全检查表，定期或不定期进行安全检查。</w:t>
      </w:r>
      <w:r>
        <w:rPr>
          <w:rFonts w:cs="Times New Roman" w:asciiTheme="minorEastAsia" w:hAnsiTheme="minorEastAsia"/>
          <w:sz w:val="24"/>
          <w:szCs w:val="24"/>
        </w:rPr>
        <w:cr/>
      </w:r>
      <w:r>
        <w:rPr>
          <w:rFonts w:hint="eastAsia" w:cs="Times New Roman" w:asciiTheme="minorEastAsia" w:hAnsiTheme="minorEastAsia"/>
          <w:sz w:val="24"/>
          <w:szCs w:val="24"/>
        </w:rPr>
        <w:t>3.11</w:t>
      </w:r>
      <w:r>
        <w:rPr>
          <w:rFonts w:cs="Times New Roman" w:asciiTheme="minorEastAsia" w:hAnsiTheme="minorEastAsia"/>
          <w:sz w:val="24"/>
          <w:szCs w:val="24"/>
        </w:rPr>
        <w:t>.2企业应制订安全检查计划，根据安全检查计划，开展检查，并建立安全检查记录台账。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3.11.3</w:t>
      </w:r>
      <w:r>
        <w:rPr>
          <w:rFonts w:cs="Times New Roman" w:asciiTheme="minorEastAsia" w:hAnsiTheme="minorEastAsia"/>
          <w:sz w:val="24"/>
          <w:szCs w:val="24"/>
        </w:rPr>
        <w:t>企业应对安全检查发现的隐患进行分析评估，确定隐患等级，登记建档，制定隐患治理方案，对隐患及时进行治理。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3.11.4企业安全监督检查表包括政府燃气管理部门对企业开展安全监督检查内容（见附录</w:t>
      </w:r>
      <w:r>
        <w:rPr>
          <w:rFonts w:ascii="Times New Roman" w:hAnsi="Times New Roman" w:cs="Times New Roman"/>
          <w:sz w:val="24"/>
          <w:szCs w:val="24"/>
        </w:rPr>
        <w:t>A</w:t>
      </w:r>
      <w:r>
        <w:rPr>
          <w:rFonts w:hint="eastAsia" w:cs="Times New Roman" w:asciiTheme="minorEastAsia" w:hAnsiTheme="minorEastAsia"/>
          <w:sz w:val="24"/>
          <w:szCs w:val="24"/>
        </w:rPr>
        <w:t>）、企业开展安全自查以及对站点开展安全检查内容（见附录</w:t>
      </w:r>
      <w:r>
        <w:rPr>
          <w:rFonts w:ascii="Times New Roman" w:hAnsi="Times New Roman" w:cs="Times New Roman"/>
          <w:sz w:val="24"/>
          <w:szCs w:val="24"/>
        </w:rPr>
        <w:t>B</w:t>
      </w:r>
      <w:r>
        <w:rPr>
          <w:rFonts w:hint="eastAsia" w:cs="Times New Roman" w:asciiTheme="minorEastAsia" w:hAnsiTheme="minorEastAsia"/>
          <w:sz w:val="24"/>
          <w:szCs w:val="24"/>
        </w:rPr>
        <w:t>）。</w:t>
      </w:r>
    </w:p>
    <w:p>
      <w:pPr>
        <w:spacing w:line="440" w:lineRule="exact"/>
        <w:jc w:val="center"/>
        <w:outlineLvl w:val="0"/>
        <w:rPr>
          <w:rFonts w:cs="Times New Roman" w:asciiTheme="minorEastAsia" w:hAnsiTheme="minorEastAsia"/>
          <w:b/>
          <w:sz w:val="24"/>
          <w:szCs w:val="24"/>
        </w:rPr>
      </w:pPr>
      <w:bookmarkStart w:id="22" w:name="_Toc3932"/>
      <w:r>
        <w:rPr>
          <w:rFonts w:hint="eastAsia" w:cs="Times New Roman" w:asciiTheme="minorEastAsia" w:hAnsiTheme="minorEastAsia"/>
          <w:b/>
          <w:sz w:val="24"/>
          <w:szCs w:val="24"/>
        </w:rPr>
        <w:t xml:space="preserve">4 </w:t>
      </w:r>
      <w:r>
        <w:rPr>
          <w:rFonts w:cs="Times New Roman" w:asciiTheme="minorEastAsia" w:hAnsiTheme="minorEastAsia"/>
          <w:b/>
          <w:sz w:val="24"/>
          <w:szCs w:val="24"/>
        </w:rPr>
        <w:t>液化石油气储配站</w:t>
      </w:r>
      <w:r>
        <w:rPr>
          <w:rFonts w:hint="eastAsia" w:cs="Times New Roman" w:asciiTheme="minorEastAsia" w:hAnsiTheme="minorEastAsia"/>
          <w:b/>
          <w:sz w:val="24"/>
          <w:szCs w:val="24"/>
        </w:rPr>
        <w:t>安全</w:t>
      </w:r>
      <w:r>
        <w:rPr>
          <w:rFonts w:cs="Times New Roman" w:asciiTheme="minorEastAsia" w:hAnsiTheme="minorEastAsia"/>
          <w:b/>
          <w:sz w:val="24"/>
          <w:szCs w:val="24"/>
        </w:rPr>
        <w:t>管理</w:t>
      </w:r>
      <w:bookmarkEnd w:id="22"/>
    </w:p>
    <w:p>
      <w:pPr>
        <w:spacing w:line="400" w:lineRule="atLeast"/>
        <w:outlineLvl w:val="1"/>
        <w:rPr>
          <w:rFonts w:cs="Times New Roman" w:asciiTheme="minorEastAsia" w:hAnsiTheme="minorEastAsia"/>
          <w:sz w:val="24"/>
          <w:szCs w:val="24"/>
        </w:rPr>
      </w:pPr>
      <w:bookmarkStart w:id="23" w:name="_Toc15202"/>
      <w:r>
        <w:rPr>
          <w:rFonts w:hint="eastAsia" w:cs="Times New Roman" w:asciiTheme="minorEastAsia" w:hAnsiTheme="minorEastAsia"/>
          <w:sz w:val="24"/>
          <w:szCs w:val="24"/>
        </w:rPr>
        <w:t>4.1 安全生产基础管理</w:t>
      </w:r>
      <w:bookmarkEnd w:id="23"/>
      <w:r>
        <w:rPr>
          <w:rFonts w:hint="eastAsia" w:cs="Times New Roman" w:asciiTheme="minorEastAsia" w:hAnsiTheme="minorEastAsia"/>
          <w:sz w:val="24"/>
          <w:szCs w:val="24"/>
        </w:rPr>
        <w:t>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4.1.1 应按照规定配备符合岗位要求的人员。</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4.1.2 应严格执行安全教育培训制度，制定并实施安全教育培训计划。并建立安全教育台账。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4.1.3 应严格遵守液化石油气经营企业制定的安全管理制度和安全操作规程。将安全生产制度和操作规程发放到相关岗位，在作业场所醒目位置悬挂安全操作规程，并对员工进行培训。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4.1.4 应定期对安全管理制度和安全操作规程的落实情况进行检查考核。</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4.1.5 应按照企业的应急管理制度、规定开展储配站应急管理工作。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4.1.6 设备设施管理应符合下列规定：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应按规定建立完整、准确的设备设施技术档案和台账。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应制定并严格执行设备设施维护管理制度，落实维护周期、维护内容、维护程序、维护保养标准。</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应建立特种设备安全技术档案。</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4 特种设备投入使用前或者投入使用后三十日内，企业应向特种设备监督管理部门登记注册。登记标志应当置于或者附着于该特种设备的显著位置。</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5 对在用特种设备及其安全附件、安全保护装置、监控仪器仪表进行经常性检查维护和定期校验、检修，并保存记录。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6 其余设备设施的使用、检测、维修，应符合有关法律法规、标准规范的要求。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4.1.7 重大危险源管理应符合下列规定：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应按照</w:t>
      </w:r>
      <w:r>
        <w:rPr>
          <w:rFonts w:ascii="Times New Roman" w:hAnsi="Times New Roman" w:cs="Times New Roman"/>
          <w:sz w:val="24"/>
          <w:szCs w:val="24"/>
        </w:rPr>
        <w:t>GB 18218</w:t>
      </w:r>
      <w:r>
        <w:rPr>
          <w:rFonts w:hint="eastAsia" w:cs="Times New Roman" w:asciiTheme="minorEastAsia" w:hAnsiTheme="minorEastAsia"/>
          <w:sz w:val="24"/>
          <w:szCs w:val="24"/>
        </w:rPr>
        <w:t>辨识并确定重大危险源，建立重大危险源管理台账。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应将重大危险源及相关安全措施、应急预案报送政府燃气管理部门备案，并按要求抄送相关燃气安全负责部门。</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应按照有关规定对重大危险源设置安全监控报警系统。</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4.1.8 安全检查与隐患整改应符合下列规定：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应严格执行液化石油气企业制定的安全检查制度，制定安全检查计划，开展安全检查，并建立安全检查记录台账。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对安全检查发现的隐患进行分析评估，确定隐患等级，登记建档，制定隐患治理方案，对隐患及时进行治理。</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4.1.9 安全管理台账</w:t>
      </w:r>
    </w:p>
    <w:p>
      <w:pPr>
        <w:spacing w:line="400" w:lineRule="atLeast"/>
        <w:ind w:firstLine="420"/>
        <w:rPr>
          <w:rFonts w:cs="Times New Roman" w:asciiTheme="minorEastAsia" w:hAnsiTheme="minorEastAsia"/>
          <w:sz w:val="24"/>
          <w:szCs w:val="24"/>
        </w:rPr>
      </w:pPr>
      <w:r>
        <w:rPr>
          <w:rFonts w:hint="eastAsia" w:cs="Times New Roman" w:asciiTheme="minorEastAsia" w:hAnsiTheme="minorEastAsia"/>
          <w:sz w:val="24"/>
          <w:szCs w:val="24"/>
        </w:rPr>
        <w:t>储配站应按规定建立安全管理台账。</w:t>
      </w:r>
    </w:p>
    <w:p>
      <w:pPr>
        <w:spacing w:line="400" w:lineRule="atLeast"/>
        <w:outlineLvl w:val="1"/>
        <w:rPr>
          <w:rFonts w:cs="Times New Roman" w:asciiTheme="minorEastAsia" w:hAnsiTheme="minorEastAsia"/>
          <w:bCs/>
          <w:sz w:val="24"/>
          <w:szCs w:val="24"/>
        </w:rPr>
      </w:pPr>
      <w:bookmarkStart w:id="24" w:name="_Toc24145"/>
      <w:r>
        <w:rPr>
          <w:rFonts w:hint="eastAsia" w:cs="Times New Roman" w:asciiTheme="minorEastAsia" w:hAnsiTheme="minorEastAsia"/>
          <w:bCs/>
          <w:sz w:val="24"/>
          <w:szCs w:val="24"/>
        </w:rPr>
        <w:t>4.2 现场安全管理应符合下列规定：</w:t>
      </w:r>
      <w:bookmarkEnd w:id="24"/>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4.2.1 储配站应按规定建立并实行门卫与安防管理制度。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4.2.2 储配站应按规定建立并实行值班管理制度。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4.2.3 储配站的防火间距应符合</w:t>
      </w:r>
      <w:r>
        <w:rPr>
          <w:rFonts w:ascii="Times New Roman" w:hAnsi="Times New Roman" w:cs="Times New Roman"/>
          <w:sz w:val="24"/>
          <w:szCs w:val="24"/>
        </w:rPr>
        <w:t>GB 51142</w:t>
      </w:r>
      <w:r>
        <w:rPr>
          <w:rFonts w:ascii="Times New Roman" w:cs="Times New Roman" w:hAnsiTheme="minorEastAsia"/>
          <w:sz w:val="24"/>
          <w:szCs w:val="24"/>
        </w:rPr>
        <w:t>、</w:t>
      </w:r>
      <w:r>
        <w:rPr>
          <w:rFonts w:ascii="Times New Roman" w:hAnsi="Times New Roman" w:cs="Times New Roman"/>
          <w:sz w:val="24"/>
          <w:szCs w:val="24"/>
        </w:rPr>
        <w:t>GB 50016</w:t>
      </w:r>
      <w:r>
        <w:rPr>
          <w:rFonts w:hint="eastAsia" w:cs="Times New Roman" w:asciiTheme="minorEastAsia" w:hAnsiTheme="minorEastAsia"/>
          <w:sz w:val="24"/>
          <w:szCs w:val="24"/>
        </w:rPr>
        <w:t>等法规的规定和要求。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4.2.4 储配站充装区的充装车辆停靠、车辆要求、气瓶充装、充装台设施配备和维护、充装台管理均应符合</w:t>
      </w:r>
      <w:r>
        <w:rPr>
          <w:rFonts w:ascii="Times New Roman" w:hAnsi="Times New Roman" w:cs="Times New Roman"/>
          <w:sz w:val="24"/>
          <w:szCs w:val="24"/>
        </w:rPr>
        <w:t>GB25201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4.2.5 储配站的储罐区设置、管道布置要求、罐区设施配置和维护、液化石油气储罐仪表的设置、罐区安全管理均应符合</w:t>
      </w:r>
      <w:r>
        <w:rPr>
          <w:rFonts w:ascii="Times New Roman" w:hAnsi="Times New Roman" w:cs="Times New Roman"/>
          <w:sz w:val="24"/>
          <w:szCs w:val="24"/>
        </w:rPr>
        <w:t>GB25201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4.2.6 储配站的机泵房设备配置和维护、机泵房安全管理应符合</w:t>
      </w:r>
      <w:r>
        <w:rPr>
          <w:rFonts w:ascii="Times New Roman" w:hAnsi="Times New Roman" w:cs="Times New Roman"/>
          <w:sz w:val="24"/>
          <w:szCs w:val="24"/>
        </w:rPr>
        <w:t>GB25201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4.2.7 储配站的罐车装卸安全操作、装卸台柱设施配置与维护、装卸台安全管理均应符合</w:t>
      </w:r>
      <w:r>
        <w:rPr>
          <w:rFonts w:ascii="Times New Roman" w:hAnsi="Times New Roman" w:cs="Times New Roman"/>
          <w:sz w:val="24"/>
          <w:szCs w:val="24"/>
        </w:rPr>
        <w:t>GB25201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4.2.8 储配站气化站的防火间距应符合</w:t>
      </w:r>
      <w:r>
        <w:rPr>
          <w:rFonts w:ascii="Times New Roman" w:hAnsi="Times New Roman" w:cs="Times New Roman"/>
          <w:sz w:val="24"/>
          <w:szCs w:val="24"/>
        </w:rPr>
        <w:t>GB 51142</w:t>
      </w:r>
      <w:r>
        <w:rPr>
          <w:rFonts w:hint="eastAsia" w:cs="Times New Roman" w:asciiTheme="minorEastAsia" w:hAnsiTheme="minorEastAsia"/>
          <w:sz w:val="24"/>
          <w:szCs w:val="24"/>
        </w:rPr>
        <w:t>的相关规定。气化和混气装置布置、混气系统、热值仪间设置、相关设备设施的配置、运行和维护以及消防安全器材的配置、气化间、混气间安全管理均应符合</w:t>
      </w:r>
      <w:r>
        <w:rPr>
          <w:rFonts w:ascii="Times New Roman" w:hAnsi="Times New Roman" w:cs="Times New Roman"/>
          <w:sz w:val="24"/>
          <w:szCs w:val="24"/>
        </w:rPr>
        <w:t>GB25201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4.2.9 检维修及危险作业许可管理应符合下列规定：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1企业应建立设备设施检维修管理制度，制定综合检维修计划，加强日常检维修和定期检维修管理，并做好记录。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检维修方案应包含作业安全风险分析、控制措施、应急处置措施及安全验收标准。检维修过程中应严格执行安全控制措施，隔离能量和危险物质，并进行监督检查，检维修后应进行安全确认。检维修过程中涉及危险作业的，应实行危险作业许可管理制度。相关作业活动应符合</w:t>
      </w:r>
      <w:r>
        <w:rPr>
          <w:rFonts w:ascii="Times New Roman" w:hAnsi="Times New Roman" w:cs="Times New Roman"/>
          <w:sz w:val="24"/>
          <w:szCs w:val="24"/>
        </w:rPr>
        <w:t>CJJ51</w:t>
      </w:r>
      <w:r>
        <w:rPr>
          <w:rFonts w:hint="eastAsia" w:cs="Times New Roman" w:asciiTheme="minorEastAsia" w:hAnsiTheme="minorEastAsia"/>
          <w:sz w:val="24"/>
          <w:szCs w:val="24"/>
        </w:rPr>
        <w:t>的规定和要求。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4.2.10 防雷防静电设施及其维护和安全管理应符合下列规定：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 液化石油气储配站具有爆炸危险的建、构筑物的防雷设计应按国家标准</w:t>
      </w:r>
      <w:r>
        <w:rPr>
          <w:rFonts w:ascii="Times New Roman" w:hAnsi="Times New Roman" w:cs="Times New Roman"/>
          <w:sz w:val="24"/>
          <w:szCs w:val="24"/>
        </w:rPr>
        <w:t>GB 50057</w:t>
      </w:r>
      <w:r>
        <w:rPr>
          <w:rFonts w:hint="eastAsia" w:cs="Times New Roman" w:asciiTheme="minorEastAsia" w:hAnsiTheme="minorEastAsia"/>
          <w:sz w:val="24"/>
          <w:szCs w:val="24"/>
        </w:rPr>
        <w:t>中的有关规定安装防雷设施。</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储配站的储罐、压力管道的接地、充装区设备接地应符合</w:t>
      </w:r>
      <w:r>
        <w:rPr>
          <w:rFonts w:ascii="Times New Roman" w:hAnsi="Times New Roman" w:cs="Times New Roman"/>
          <w:sz w:val="24"/>
          <w:szCs w:val="24"/>
        </w:rPr>
        <w:t>SH/T 3097</w:t>
      </w:r>
      <w:r>
        <w:rPr>
          <w:rFonts w:hint="eastAsia" w:cs="Times New Roman" w:asciiTheme="minorEastAsia" w:hAnsiTheme="minorEastAsia"/>
          <w:sz w:val="24"/>
          <w:szCs w:val="24"/>
        </w:rPr>
        <w:t>等法规的规定和要求。</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相关防雷设施应定期送有资质的单位进行检测，并保存相关报告、证书。</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4.2.11 配电房应符合下列规定：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 配电房的建筑结构、设置应符合相关规定的要求。</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 配电房应按规定配备消防安全器材。</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 相关设施应定期进行检查和测试，保证其完好可用。</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4.2.12消防泵房</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消防泵房的给水管网布置、消防水池容量、消防泵、消防栓的设置，均应符合消防法的规定和要求。</w:t>
      </w:r>
    </w:p>
    <w:p>
      <w:pPr>
        <w:spacing w:line="440" w:lineRule="exact"/>
        <w:jc w:val="center"/>
        <w:outlineLvl w:val="0"/>
        <w:rPr>
          <w:rFonts w:cs="Times New Roman" w:asciiTheme="minorEastAsia" w:hAnsiTheme="minorEastAsia"/>
          <w:b/>
          <w:bCs/>
          <w:sz w:val="24"/>
          <w:szCs w:val="24"/>
        </w:rPr>
      </w:pPr>
      <w:bookmarkStart w:id="25" w:name="_Toc29554"/>
      <w:r>
        <w:rPr>
          <w:rFonts w:hint="eastAsia" w:cs="Times New Roman" w:asciiTheme="minorEastAsia" w:hAnsiTheme="minorEastAsia"/>
          <w:b/>
          <w:bCs/>
          <w:sz w:val="24"/>
          <w:szCs w:val="24"/>
        </w:rPr>
        <w:t>5 液化石油气瓶装供应安全管理</w:t>
      </w:r>
      <w:bookmarkEnd w:id="25"/>
    </w:p>
    <w:p>
      <w:pPr>
        <w:spacing w:line="400" w:lineRule="exact"/>
        <w:outlineLvl w:val="1"/>
        <w:rPr>
          <w:rFonts w:cs="Times New Roman" w:asciiTheme="minorEastAsia" w:hAnsiTheme="minorEastAsia"/>
          <w:sz w:val="24"/>
          <w:szCs w:val="24"/>
        </w:rPr>
      </w:pPr>
      <w:bookmarkStart w:id="26" w:name="_Toc8560"/>
      <w:r>
        <w:rPr>
          <w:rFonts w:hint="eastAsia" w:cs="Times New Roman" w:asciiTheme="minorEastAsia" w:hAnsiTheme="minorEastAsia"/>
          <w:sz w:val="24"/>
          <w:szCs w:val="24"/>
        </w:rPr>
        <w:t>5.1 一级供应站、二级供应站、三级供应站以及便民服务部安全管理应符合下列规定：</w:t>
      </w:r>
      <w:bookmarkEnd w:id="26"/>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5.1.1 应按照规定配备符合岗位要求的人员。</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5.1.2 应严格执行安全管理制度，开展安全检查并形成记录。进行安全隐患整改，定期开展安全评价工作，进行安全公告。</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5.1.3 应有供应站必备的资质证照或文件，严格落实送气管理制度。不得存在法律法规严禁的行为。</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5.1.4 周边环境与防火间距、瓶库建筑结构、气瓶储存管理、瓶库防火防爆均应符合相关法律法规的规定和要求。</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5.1.5 应按照消防法的规定配置消防设施。</w:t>
      </w:r>
    </w:p>
    <w:p>
      <w:pPr>
        <w:spacing w:line="400" w:lineRule="exact"/>
        <w:outlineLvl w:val="1"/>
        <w:rPr>
          <w:rFonts w:cs="Times New Roman" w:asciiTheme="minorEastAsia" w:hAnsiTheme="minorEastAsia"/>
          <w:bCs/>
          <w:sz w:val="24"/>
          <w:szCs w:val="24"/>
        </w:rPr>
      </w:pPr>
      <w:bookmarkStart w:id="27" w:name="_Toc22983"/>
      <w:r>
        <w:rPr>
          <w:rFonts w:hint="eastAsia" w:cs="Times New Roman" w:asciiTheme="minorEastAsia" w:hAnsiTheme="minorEastAsia"/>
          <w:bCs/>
          <w:sz w:val="24"/>
          <w:szCs w:val="24"/>
        </w:rPr>
        <w:t>5.2 液化石油气瓶组用户安全管理应符合下列规定：</w:t>
      </w:r>
      <w:bookmarkEnd w:id="27"/>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5.2.1 应严格执行安全管理制度，开展安全检查并形成记录。进行安全隐患整改。</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5.2.2 应设置有防火警示标志以及安全警示标志。</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5.2.3 瓶组气化站应与合法供气企业签订供气合同。</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5.2.4 瓶组间位置及防火间距应符合</w:t>
      </w:r>
      <w:r>
        <w:rPr>
          <w:rFonts w:ascii="Times New Roman" w:hAnsi="Times New Roman" w:cs="Times New Roman"/>
          <w:sz w:val="24"/>
          <w:szCs w:val="24"/>
        </w:rPr>
        <w:t>GB 51142</w:t>
      </w:r>
      <w:r>
        <w:rPr>
          <w:rFonts w:hint="eastAsia" w:cs="Times New Roman" w:asciiTheme="minorEastAsia" w:hAnsiTheme="minorEastAsia"/>
          <w:sz w:val="24"/>
          <w:szCs w:val="24"/>
        </w:rPr>
        <w:t>的规定。</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5.2.5 瓶组间建筑结构应符合相关规定和要求。</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5.2.6防爆设施应按照相关规定和要求进行设置和维护。</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5.2.7 应按照消防要求配备消防设施并进行维护。</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5.2.8 燃气使用的管理应按照企业制定的制度或规定执行。</w:t>
      </w:r>
    </w:p>
    <w:p>
      <w:pPr>
        <w:spacing w:line="280" w:lineRule="exact"/>
        <w:jc w:val="center"/>
        <w:outlineLvl w:val="0"/>
        <w:rPr>
          <w:rFonts w:cs="Times New Roman" w:asciiTheme="minorEastAsia" w:hAnsiTheme="minorEastAsia"/>
          <w:b/>
          <w:bCs/>
          <w:sz w:val="24"/>
          <w:szCs w:val="24"/>
        </w:rPr>
      </w:pPr>
      <w:bookmarkStart w:id="28" w:name="_Toc2687"/>
      <w:bookmarkStart w:id="29" w:name="_Toc28195"/>
    </w:p>
    <w:p>
      <w:pPr>
        <w:spacing w:line="280" w:lineRule="exact"/>
        <w:jc w:val="center"/>
        <w:outlineLvl w:val="0"/>
        <w:rPr>
          <w:rFonts w:cs="Times New Roman" w:asciiTheme="minorEastAsia" w:hAnsiTheme="minorEastAsia"/>
          <w:b/>
          <w:bCs/>
          <w:sz w:val="24"/>
          <w:szCs w:val="24"/>
        </w:rPr>
      </w:pPr>
    </w:p>
    <w:p>
      <w:pPr>
        <w:spacing w:line="280" w:lineRule="exact"/>
        <w:jc w:val="center"/>
        <w:outlineLvl w:val="0"/>
        <w:rPr>
          <w:rFonts w:cs="Times New Roman" w:asciiTheme="minorEastAsia" w:hAnsiTheme="minorEastAsia"/>
          <w:b/>
          <w:bCs/>
          <w:sz w:val="24"/>
          <w:szCs w:val="24"/>
        </w:rPr>
      </w:pPr>
    </w:p>
    <w:p>
      <w:pPr>
        <w:spacing w:line="280" w:lineRule="exact"/>
        <w:jc w:val="center"/>
        <w:outlineLvl w:val="0"/>
        <w:rPr>
          <w:rFonts w:cs="Times New Roman" w:asciiTheme="minorEastAsia" w:hAnsiTheme="minorEastAsia"/>
          <w:b/>
          <w:bCs/>
          <w:sz w:val="24"/>
          <w:szCs w:val="24"/>
        </w:rPr>
      </w:pPr>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附录A</w:t>
      </w:r>
      <w:bookmarkEnd w:id="28"/>
      <w:bookmarkEnd w:id="29"/>
    </w:p>
    <w:p>
      <w:pPr>
        <w:spacing w:line="280" w:lineRule="exact"/>
        <w:jc w:val="center"/>
        <w:rPr>
          <w:rFonts w:cs="Times New Roman" w:asciiTheme="minorEastAsia" w:hAnsiTheme="minorEastAsia"/>
          <w:b/>
          <w:bCs/>
          <w:sz w:val="24"/>
          <w:szCs w:val="24"/>
        </w:rPr>
      </w:pPr>
      <w:r>
        <w:rPr>
          <w:rFonts w:hint="eastAsia" w:cs="Times New Roman" w:asciiTheme="minorEastAsia" w:hAnsiTheme="minorEastAsia"/>
          <w:b/>
          <w:bCs/>
          <w:sz w:val="24"/>
          <w:szCs w:val="24"/>
        </w:rPr>
        <w:t>（规范性附录）</w:t>
      </w:r>
    </w:p>
    <w:p>
      <w:pPr>
        <w:spacing w:line="280" w:lineRule="exact"/>
        <w:jc w:val="center"/>
        <w:rPr>
          <w:rFonts w:cs="Times New Roman" w:asciiTheme="minorEastAsia" w:hAnsiTheme="minorEastAsia"/>
          <w:b/>
          <w:bCs/>
          <w:sz w:val="24"/>
          <w:szCs w:val="24"/>
        </w:rPr>
      </w:pPr>
      <w:r>
        <w:rPr>
          <w:rFonts w:hint="eastAsia" w:cs="Times New Roman" w:asciiTheme="minorEastAsia" w:hAnsiTheme="minorEastAsia"/>
          <w:b/>
          <w:bCs/>
          <w:sz w:val="24"/>
          <w:szCs w:val="24"/>
        </w:rPr>
        <w:t>政府燃气管理部门开展安全监督检查内容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政府燃气管理部门对液化石油气运营企业开展安全监督检查，包括以下安全监督检查表：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瓶装液化石油气运营企业安全监督检查表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3119"/>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30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9"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303" w:type="dxa"/>
            <w:vMerge w:val="restart"/>
            <w:vAlign w:val="center"/>
          </w:tcPr>
          <w:p>
            <w:pPr>
              <w:spacing w:line="440" w:lineRule="exact"/>
              <w:jc w:val="center"/>
              <w:rPr>
                <w:rFonts w:cs="Times New Roman" w:asciiTheme="minorEastAsia" w:hAnsiTheme="minorEastAsia"/>
                <w:bCs/>
                <w:sz w:val="18"/>
                <w:szCs w:val="18"/>
              </w:rPr>
            </w:pPr>
            <w:r>
              <w:rPr>
                <w:rFonts w:hint="eastAsia" w:cs="Times New Roman" w:asciiTheme="minorEastAsia" w:hAnsiTheme="minorEastAsia"/>
                <w:bCs/>
                <w:sz w:val="18"/>
                <w:szCs w:val="18"/>
              </w:rPr>
              <w:t>资质条件</w:t>
            </w: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供应站应取得营业执照</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
                <w:bCs/>
                <w:sz w:val="18"/>
                <w:szCs w:val="18"/>
              </w:rPr>
            </w:pPr>
          </w:p>
        </w:tc>
        <w:tc>
          <w:tcPr>
            <w:tcW w:w="1303" w:type="dxa"/>
            <w:vMerge w:val="continue"/>
            <w:vAlign w:val="center"/>
          </w:tcPr>
          <w:p>
            <w:pPr>
              <w:spacing w:line="440" w:lineRule="exact"/>
              <w:jc w:val="center"/>
              <w:rPr>
                <w:rFonts w:cs="Times New Roman" w:asciiTheme="minorEastAsia" w:hAnsiTheme="minorEastAsia"/>
                <w:b/>
                <w:bCs/>
                <w:sz w:val="18"/>
                <w:szCs w:val="18"/>
              </w:rPr>
            </w:pP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有产权证明或租赁合同</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
                <w:bCs/>
                <w:sz w:val="18"/>
                <w:szCs w:val="18"/>
              </w:rPr>
            </w:pPr>
          </w:p>
        </w:tc>
        <w:tc>
          <w:tcPr>
            <w:tcW w:w="1303" w:type="dxa"/>
            <w:vMerge w:val="continue"/>
            <w:vAlign w:val="center"/>
          </w:tcPr>
          <w:p>
            <w:pPr>
              <w:spacing w:line="440" w:lineRule="exact"/>
              <w:jc w:val="center"/>
              <w:rPr>
                <w:rFonts w:cs="Times New Roman" w:asciiTheme="minorEastAsia" w:hAnsiTheme="minorEastAsia"/>
                <w:b/>
                <w:bCs/>
                <w:sz w:val="18"/>
                <w:szCs w:val="18"/>
              </w:rPr>
            </w:pP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有消防验收合格文件</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
                <w:bCs/>
                <w:sz w:val="18"/>
                <w:szCs w:val="18"/>
              </w:rPr>
            </w:pPr>
          </w:p>
        </w:tc>
        <w:tc>
          <w:tcPr>
            <w:tcW w:w="1303" w:type="dxa"/>
            <w:vMerge w:val="continue"/>
            <w:vAlign w:val="center"/>
          </w:tcPr>
          <w:p>
            <w:pPr>
              <w:spacing w:line="440" w:lineRule="exact"/>
              <w:jc w:val="center"/>
              <w:rPr>
                <w:rFonts w:cs="Times New Roman" w:asciiTheme="minorEastAsia" w:hAnsiTheme="minorEastAsia"/>
                <w:b/>
                <w:bCs/>
                <w:sz w:val="18"/>
                <w:szCs w:val="18"/>
              </w:rPr>
            </w:pP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取得燃气经营许可证</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
                <w:bCs/>
                <w:sz w:val="18"/>
                <w:szCs w:val="18"/>
              </w:rPr>
            </w:pPr>
          </w:p>
        </w:tc>
        <w:tc>
          <w:tcPr>
            <w:tcW w:w="1303" w:type="dxa"/>
            <w:vMerge w:val="continue"/>
            <w:vAlign w:val="center"/>
          </w:tcPr>
          <w:p>
            <w:pPr>
              <w:spacing w:line="440" w:lineRule="exact"/>
              <w:jc w:val="center"/>
              <w:rPr>
                <w:rFonts w:cs="Times New Roman" w:asciiTheme="minorEastAsia" w:hAnsiTheme="minorEastAsia"/>
                <w:b/>
                <w:bCs/>
                <w:sz w:val="18"/>
                <w:szCs w:val="18"/>
              </w:rPr>
            </w:pP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取得气瓶充装许可证</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
                <w:bCs/>
                <w:sz w:val="18"/>
                <w:szCs w:val="18"/>
              </w:rPr>
            </w:pPr>
          </w:p>
        </w:tc>
        <w:tc>
          <w:tcPr>
            <w:tcW w:w="1303" w:type="dxa"/>
            <w:vMerge w:val="continue"/>
            <w:vAlign w:val="center"/>
          </w:tcPr>
          <w:p>
            <w:pPr>
              <w:spacing w:line="440" w:lineRule="exact"/>
              <w:jc w:val="center"/>
              <w:rPr>
                <w:rFonts w:cs="Times New Roman" w:asciiTheme="minorEastAsia" w:hAnsiTheme="minorEastAsia"/>
                <w:b/>
                <w:bCs/>
                <w:sz w:val="18"/>
                <w:szCs w:val="18"/>
              </w:rPr>
            </w:pPr>
          </w:p>
        </w:tc>
        <w:tc>
          <w:tcPr>
            <w:tcW w:w="3119" w:type="dxa"/>
            <w:vAlign w:val="center"/>
          </w:tcPr>
          <w:p>
            <w:pPr>
              <w:spacing w:line="40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有在有效期内的防雷检测报告</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restart"/>
            <w:vAlign w:val="center"/>
          </w:tcPr>
          <w:p>
            <w:pPr>
              <w:spacing w:line="44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1303" w:type="dxa"/>
            <w:vMerge w:val="restart"/>
            <w:vAlign w:val="center"/>
          </w:tcPr>
          <w:p>
            <w:pPr>
              <w:spacing w:line="280" w:lineRule="exact"/>
              <w:jc w:val="center"/>
              <w:rPr>
                <w:rFonts w:cs="Times New Roman" w:asciiTheme="minorEastAsia" w:hAnsiTheme="minorEastAsia"/>
                <w:bCs/>
                <w:sz w:val="18"/>
                <w:szCs w:val="18"/>
              </w:rPr>
            </w:pPr>
            <w:r>
              <w:rPr>
                <w:rFonts w:hint="eastAsia" w:cs="Times New Roman" w:asciiTheme="minorEastAsia" w:hAnsiTheme="minorEastAsia"/>
                <w:bCs/>
                <w:sz w:val="18"/>
                <w:szCs w:val="18"/>
              </w:rPr>
              <w:t>安全生产管理机构与人员</w:t>
            </w: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应设有由主要负责人领导的安全生产委员会（领导小组）</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应设有日常安全生产管理机构或专职安全管理人员配备</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应建立从安全生产委员会（领导小组）到基层班组的安全生产机构管理体系</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1303" w:type="dxa"/>
            <w:vMerge w:val="restart"/>
            <w:vAlign w:val="center"/>
          </w:tcPr>
          <w:p>
            <w:pPr>
              <w:spacing w:line="280" w:lineRule="exact"/>
              <w:jc w:val="center"/>
              <w:rPr>
                <w:rFonts w:cs="Times New Roman" w:asciiTheme="minorEastAsia" w:hAnsiTheme="minorEastAsia"/>
                <w:bCs/>
                <w:sz w:val="18"/>
                <w:szCs w:val="18"/>
              </w:rPr>
            </w:pPr>
            <w:r>
              <w:rPr>
                <w:rFonts w:hint="eastAsia" w:cs="Times New Roman" w:asciiTheme="minorEastAsia" w:hAnsiTheme="minorEastAsia"/>
                <w:bCs/>
                <w:sz w:val="18"/>
                <w:szCs w:val="18"/>
              </w:rPr>
              <w:t>安全生产规章制度和安全操作规程</w:t>
            </w: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应建立从上到下所有岗位人员和各职能部门的安全生产职责</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应建立健全各项安全生产规章制度</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安全生产责任制检查考核记录</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应制定安全操作规程、维护保养规程</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安全制度和操作规程检查考核记录</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应建立双重防控机制，对危险作业进行分级审批</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303" w:type="dxa"/>
            <w:vMerge w:val="restart"/>
            <w:vAlign w:val="center"/>
          </w:tcPr>
          <w:p>
            <w:pPr>
              <w:spacing w:line="440" w:lineRule="exact"/>
              <w:jc w:val="center"/>
              <w:rPr>
                <w:rFonts w:cs="Times New Roman" w:asciiTheme="minorEastAsia" w:hAnsiTheme="minorEastAsia"/>
                <w:bCs/>
                <w:sz w:val="18"/>
                <w:szCs w:val="18"/>
              </w:rPr>
            </w:pPr>
            <w:r>
              <w:rPr>
                <w:rFonts w:hint="eastAsia" w:cs="Times New Roman" w:asciiTheme="minorEastAsia" w:hAnsiTheme="minorEastAsia"/>
                <w:bCs/>
                <w:sz w:val="18"/>
                <w:szCs w:val="18"/>
              </w:rPr>
              <w:t>安全教育培训</w:t>
            </w: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企业主要负责人和安全管理人员经培训考核取得培训证书</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特种作业人员教育</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三级安全教育培训</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在岗从业人员安全培训</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安全培训台账</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定期开展安全宣传</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1303" w:type="dxa"/>
            <w:vMerge w:val="restart"/>
            <w:vAlign w:val="center"/>
          </w:tcPr>
          <w:p>
            <w:pPr>
              <w:spacing w:line="440" w:lineRule="exact"/>
              <w:jc w:val="center"/>
              <w:rPr>
                <w:rFonts w:cs="Times New Roman" w:asciiTheme="minorEastAsia" w:hAnsiTheme="minorEastAsia"/>
                <w:bCs/>
                <w:sz w:val="18"/>
                <w:szCs w:val="18"/>
              </w:rPr>
            </w:pPr>
            <w:r>
              <w:rPr>
                <w:rFonts w:hint="eastAsia" w:cs="Times New Roman" w:asciiTheme="minorEastAsia" w:hAnsiTheme="minorEastAsia"/>
                <w:bCs/>
                <w:sz w:val="18"/>
                <w:szCs w:val="18"/>
              </w:rPr>
              <w:t>安全投入</w:t>
            </w: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建立健全内部安全生产费用管理制度</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cs="Times New Roman" w:asciiTheme="minorEastAsia" w:hAnsiTheme="minorEastAsia"/>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安全生产费用管理台账</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cs="Times New Roman" w:asciiTheme="minorEastAsia" w:hAnsiTheme="minorEastAsia"/>
                <w:bCs/>
                <w:sz w:val="18"/>
                <w:szCs w:val="18"/>
              </w:rPr>
            </w:pPr>
          </w:p>
        </w:tc>
        <w:tc>
          <w:tcPr>
            <w:tcW w:w="1303" w:type="dxa"/>
            <w:vMerge w:val="continue"/>
            <w:vAlign w:val="center"/>
          </w:tcPr>
          <w:p>
            <w:pPr>
              <w:spacing w:line="440" w:lineRule="exact"/>
              <w:jc w:val="center"/>
              <w:rPr>
                <w:rFonts w:cs="Times New Roman" w:asciiTheme="minorEastAsia" w:hAnsiTheme="minorEastAsia"/>
                <w:bCs/>
                <w:sz w:val="18"/>
                <w:szCs w:val="18"/>
              </w:rPr>
            </w:pPr>
          </w:p>
        </w:tc>
        <w:tc>
          <w:tcPr>
            <w:tcW w:w="3119" w:type="dxa"/>
            <w:vAlign w:val="center"/>
          </w:tcPr>
          <w:p>
            <w:pPr>
              <w:spacing w:line="280" w:lineRule="exact"/>
              <w:jc w:val="left"/>
              <w:rPr>
                <w:rFonts w:cs="Times New Roman" w:asciiTheme="minorEastAsia" w:hAnsiTheme="minorEastAsia"/>
                <w:bCs/>
                <w:sz w:val="18"/>
                <w:szCs w:val="18"/>
              </w:rPr>
            </w:pPr>
            <w:r>
              <w:rPr>
                <w:rFonts w:hint="eastAsia" w:cs="Times New Roman" w:asciiTheme="minorEastAsia" w:hAnsiTheme="minorEastAsia"/>
                <w:bCs/>
                <w:sz w:val="18"/>
                <w:szCs w:val="18"/>
              </w:rPr>
              <w:t>应为员工办理工伤社会保险</w:t>
            </w:r>
          </w:p>
        </w:tc>
        <w:tc>
          <w:tcPr>
            <w:tcW w:w="1106" w:type="dxa"/>
            <w:vAlign w:val="center"/>
          </w:tcPr>
          <w:p>
            <w:pPr>
              <w:spacing w:line="440" w:lineRule="exact"/>
              <w:jc w:val="center"/>
              <w:rPr>
                <w:rFonts w:cs="Times New Roman" w:asciiTheme="minorEastAsia" w:hAnsiTheme="minorEastAsia"/>
                <w:bCs/>
                <w:sz w:val="18"/>
                <w:szCs w:val="18"/>
              </w:rPr>
            </w:pPr>
          </w:p>
        </w:tc>
        <w:tc>
          <w:tcPr>
            <w:tcW w:w="2422" w:type="dxa"/>
            <w:vAlign w:val="center"/>
          </w:tcPr>
          <w:p>
            <w:pPr>
              <w:spacing w:line="440" w:lineRule="exact"/>
              <w:jc w:val="center"/>
              <w:rPr>
                <w:rFonts w:cs="Times New Roman" w:asciiTheme="minorEastAsia" w:hAnsiTheme="minorEastAsia"/>
                <w:bCs/>
                <w:sz w:val="18"/>
                <w:szCs w:val="18"/>
              </w:rPr>
            </w:pPr>
          </w:p>
        </w:tc>
      </w:tr>
    </w:tbl>
    <w:p>
      <w:pPr>
        <w:spacing w:line="440" w:lineRule="exact"/>
        <w:jc w:val="center"/>
        <w:rPr>
          <w:rFonts w:cs="Times New Roman" w:asciiTheme="minorEastAsia" w:hAnsiTheme="minorEastAsia"/>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瓶装液化石油气运营企业安全监督检查表（续）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835"/>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560"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283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4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560"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安全文化、标准化建设</w:t>
            </w: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应开展安全文化、标准化建设</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4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1560"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安全信息化建设</w:t>
            </w: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应根据自身情况，利用信息化手段加强安全生产管理工作</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4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1560"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安全检查与隐患整改</w:t>
            </w: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企业安全生产自查记录</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ascii="Times New Roman" w:hAnsi="Times New Roman" w:cs="Times New Roman"/>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燃气站点安全检查记录</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ascii="Times New Roman" w:hAnsi="Times New Roman" w:cs="Times New Roman"/>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用户安全检查记录</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ascii="Times New Roman" w:hAnsi="Times New Roman" w:cs="Times New Roman"/>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用户供气协议签订记录</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ascii="Times New Roman" w:hAnsi="Times New Roman" w:cs="Times New Roman"/>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安全隐患整改记录</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44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1560" w:type="dxa"/>
            <w:vMerge w:val="restart"/>
            <w:vAlign w:val="center"/>
          </w:tcPr>
          <w:p>
            <w:pPr>
              <w:spacing w:line="440" w:lineRule="exact"/>
              <w:jc w:val="center"/>
              <w:rPr>
                <w:rFonts w:cs="Times New Roman" w:asciiTheme="minorEastAsia" w:hAnsiTheme="minorEastAsia"/>
                <w:sz w:val="18"/>
                <w:szCs w:val="18"/>
              </w:rPr>
            </w:pPr>
            <w:r>
              <w:rPr>
                <w:rFonts w:hint="eastAsia" w:cs="Times New Roman" w:asciiTheme="minorEastAsia" w:hAnsiTheme="minorEastAsia"/>
                <w:sz w:val="18"/>
                <w:szCs w:val="18"/>
              </w:rPr>
              <w:t>抢险与事故管理</w:t>
            </w: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抢险点设置和抢险人员配备</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cs="Times New Roman" w:asciiTheme="minorEastAsia" w:hAnsiTheme="minorEastAsia"/>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抢险设备配置</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440" w:lineRule="exact"/>
              <w:jc w:val="center"/>
              <w:rPr>
                <w:rFonts w:cs="Times New Roman" w:asciiTheme="minorEastAsia" w:hAnsiTheme="minorEastAsia"/>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生产安全事故应急预案及应急预案备案及修订</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cs="Times New Roman" w:asciiTheme="minorEastAsia" w:hAnsiTheme="minorEastAsia"/>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应急演练台账</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440" w:lineRule="exact"/>
              <w:jc w:val="center"/>
              <w:rPr>
                <w:rFonts w:cs="Times New Roman" w:asciiTheme="minorEastAsia" w:hAnsiTheme="minorEastAsia"/>
                <w:sz w:val="18"/>
                <w:szCs w:val="18"/>
              </w:rPr>
            </w:pPr>
          </w:p>
        </w:tc>
        <w:tc>
          <w:tcPr>
            <w:tcW w:w="1560" w:type="dxa"/>
            <w:vMerge w:val="continue"/>
            <w:vAlign w:val="center"/>
          </w:tcPr>
          <w:p>
            <w:pPr>
              <w:spacing w:line="440" w:lineRule="exact"/>
              <w:jc w:val="center"/>
              <w:rPr>
                <w:rFonts w:cs="Times New Roman" w:asciiTheme="minorEastAsia" w:hAnsiTheme="minorEastAsia"/>
                <w:sz w:val="18"/>
                <w:szCs w:val="18"/>
              </w:rPr>
            </w:pPr>
          </w:p>
        </w:tc>
        <w:tc>
          <w:tcPr>
            <w:tcW w:w="2835"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建立健全事故台账</w:t>
            </w:r>
          </w:p>
        </w:tc>
        <w:tc>
          <w:tcPr>
            <w:tcW w:w="1106" w:type="dxa"/>
            <w:vAlign w:val="center"/>
          </w:tcPr>
          <w:p>
            <w:pPr>
              <w:spacing w:line="440" w:lineRule="exact"/>
              <w:jc w:val="center"/>
              <w:rPr>
                <w:rFonts w:cs="Times New Roman" w:asciiTheme="minorEastAsia" w:hAnsiTheme="minorEastAsia"/>
                <w:sz w:val="18"/>
                <w:szCs w:val="18"/>
              </w:rPr>
            </w:pPr>
          </w:p>
        </w:tc>
        <w:tc>
          <w:tcPr>
            <w:tcW w:w="2422" w:type="dxa"/>
            <w:vAlign w:val="center"/>
          </w:tcPr>
          <w:p>
            <w:pPr>
              <w:spacing w:line="44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p>
            <w:pPr>
              <w:spacing w:line="280" w:lineRule="exact"/>
              <w:jc w:val="center"/>
              <w:rPr>
                <w:rFonts w:cs="Times New Roman" w:asciiTheme="minorEastAsia" w:hAnsiTheme="minorEastAsia"/>
                <w:sz w:val="18"/>
                <w:szCs w:val="18"/>
              </w:rPr>
            </w:pPr>
          </w:p>
        </w:tc>
        <w:tc>
          <w:tcPr>
            <w:tcW w:w="7923" w:type="dxa"/>
            <w:gridSpan w:val="4"/>
            <w:vAlign w:val="center"/>
          </w:tcPr>
          <w:p>
            <w:pPr>
              <w:spacing w:line="440" w:lineRule="exact"/>
              <w:jc w:val="center"/>
              <w:rPr>
                <w:rFonts w:cs="Times New Roman" w:asciiTheme="minorEastAsia" w:hAnsiTheme="minorEastAsia"/>
                <w:sz w:val="18"/>
                <w:szCs w:val="18"/>
              </w:rPr>
            </w:pPr>
          </w:p>
          <w:p>
            <w:pPr>
              <w:spacing w:line="440" w:lineRule="exact"/>
              <w:jc w:val="center"/>
              <w:rPr>
                <w:rFonts w:cs="Times New Roman" w:asciiTheme="minorEastAsia" w:hAnsiTheme="minorEastAsia"/>
                <w:sz w:val="18"/>
                <w:szCs w:val="18"/>
              </w:rPr>
            </w:pPr>
          </w:p>
        </w:tc>
      </w:tr>
    </w:tbl>
    <w:p>
      <w:pPr>
        <w:spacing w:line="440" w:lineRule="exact"/>
        <w:rPr>
          <w:rFonts w:ascii="Times New Roman" w:hAnsi="Times New Roman" w:cs="Times New Roman"/>
          <w:b/>
          <w:bCs/>
          <w:sz w:val="18"/>
          <w:szCs w:val="18"/>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液化石油气储配站安全监督检查表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977"/>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297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周边环境与总平面布置</w:t>
            </w:r>
          </w:p>
        </w:tc>
        <w:tc>
          <w:tcPr>
            <w:tcW w:w="297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总平面应分区布置，即分为生产区和辅助区</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生产区应设置高度不低于</w:t>
            </w:r>
            <w:r>
              <w:rPr>
                <w:rFonts w:ascii="Times New Roman" w:hAnsi="Times New Roman" w:cs="Times New Roman"/>
                <w:sz w:val="18"/>
                <w:szCs w:val="18"/>
              </w:rPr>
              <w:t>2m</w:t>
            </w:r>
            <w:r>
              <w:rPr>
                <w:rFonts w:hint="eastAsia" w:cs="Times New Roman" w:asciiTheme="minorEastAsia" w:hAnsiTheme="minorEastAsia"/>
                <w:sz w:val="18"/>
                <w:szCs w:val="18"/>
              </w:rPr>
              <w:t>的非燃烧实体围墙，围墙应完整，无破损</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站内严禁种植油性植物，储罐区内严禁绿化，绿化不得侵入道路，绿化不得阻碍消防救援</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门卫管理和站内道路交通</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生产区和辅助区至少应各设有</w:t>
            </w:r>
            <w:r>
              <w:rPr>
                <w:rFonts w:ascii="Times New Roman" w:hAnsi="Times New Roman" w:cs="Times New Roman"/>
                <w:sz w:val="18"/>
                <w:szCs w:val="18"/>
              </w:rPr>
              <w:t>1</w:t>
            </w:r>
            <w:r>
              <w:rPr>
                <w:rFonts w:hint="eastAsia" w:cs="Times New Roman" w:asciiTheme="minorEastAsia" w:hAnsiTheme="minorEastAsia"/>
                <w:sz w:val="18"/>
                <w:szCs w:val="18"/>
              </w:rPr>
              <w:t>个对外出口</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生产区应设有环形消防车道</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出入口警示标志</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出入口有应急指引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门卫管理制度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视频监控系统</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报警装置设置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车辆进出台账记录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液化石油气储配站安全监督检查表（续）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118"/>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液化石油气装卸</w:t>
            </w:r>
          </w:p>
        </w:tc>
        <w:tc>
          <w:tcPr>
            <w:tcW w:w="3118" w:type="dxa"/>
            <w:vAlign w:val="center"/>
          </w:tcPr>
          <w:p>
            <w:pPr>
              <w:spacing w:line="26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装卸前，车辆熄火，手刹拉起，车轮下垫放三角木等防止车辆滑动的阻挡设施，并在罐车前竖立“正在卸车，严禁启动”的安全警示牌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应建立在本站定点装卸的槽车安全管理档案，有危运资质</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装卸前后安全检查台账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静电接地报警装置连接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定期检查万向充装管道系统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快装接头及拉断阀配置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压缩机和烃泵</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压缩机的缓冲罐、气液分离器定期检验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压缩机和烃泵运行记录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压缩机排气出口管上应设有压力表和安全阀</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过滤器定期维护记录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压缩机和烃泵设置安全防护罩</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气瓶灌装作业</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气瓶灌装记录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灌装前液化石油气气瓶检查记录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严禁超量灌装，采用手动灌瓶作业的，应设有检斤称</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灌瓶间和瓶库内的气瓶应按实瓶区、空瓶区分组布置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储罐</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储罐罐体应完好无损，无变形裂缝现象，无严重锈蚀现象，无漏气现象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安全阀、液位计、压力表及温度计定期检测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储罐止回阀、紧急切断阀设置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埋地储罐防腐措施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地上储罐基础应稳固，储罐组设置防液堤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地上式储罐应设有完好的水喷淋系统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储罐年度检查报告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储罐压力、液位远传</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储罐注胶或高压注水装置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罐罐与安全阀之间应设置阀门，且应采用铅封或锁定</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液化石油气储配站安全监督检查表（续）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安全阀外观应良好无损，在检验有效期内，阀体上应悬挂校验铭牌，并注明下次校验时间，检验铅封应完好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管道外表应完好无损，无腐蚀迹象，外表防腐涂层应完好，无燃气泄漏现象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管道应有色标和流向标识</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仪表和自控系统</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站内爆炸危险厂房和装置区内应设置燃气探测器，并定期检测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灭火器配置与维护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设置安全警示标志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消防泵测试保养记录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消防泵运行保养记录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站内消防栓维护保养</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站内爆炸危险场所的电力装置防爆要求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防雷设施及定期检测报告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公用辅助设施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变配电室应急照明设备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电缆安全防护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配电室防鼠措施、绝缘垫、绝缘工具配备；绝缘靴、绝缘手套检测合格</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配备发电机，柴油充足，运行工况良好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安全管理台账</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应急预案及应急演练记录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安全会议台账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安全教育台账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 管理制度和操作规程及考核台账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安全检查与隐患整改台账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特种设施定期检测台账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安全负责人、安全管理人员在职在岗台账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表A.3 供应站及燃气便民服务部安全监督检查表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资质条件</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营业执照</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产权证明</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消防意见</w:t>
            </w:r>
          </w:p>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经营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经营许可</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防雷合格证</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p>
          <w:p>
            <w:pPr>
              <w:spacing w:line="320" w:lineRule="exact"/>
              <w:jc w:val="center"/>
              <w:rPr>
                <w:rFonts w:ascii="Times New Roman" w:hAnsi="Times New Roman" w:cs="Times New Roman"/>
                <w:sz w:val="18"/>
                <w:szCs w:val="18"/>
              </w:rPr>
            </w:pPr>
            <w:r>
              <w:rPr>
                <w:rFonts w:ascii="Times New Roman" w:hAnsi="Times New Roman" w:cs="Times New Roman"/>
                <w:sz w:val="18"/>
                <w:szCs w:val="18"/>
              </w:rPr>
              <w:t>2</w:t>
            </w:r>
          </w:p>
          <w:p>
            <w:pPr>
              <w:spacing w:line="320" w:lineRule="exact"/>
              <w:jc w:val="center"/>
              <w:rPr>
                <w:rFonts w:ascii="Times New Roman" w:hAnsi="Times New Roman" w:cs="Times New Roman"/>
                <w:sz w:val="18"/>
                <w:szCs w:val="18"/>
              </w:rPr>
            </w:pP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总图布置</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设置高度不低于2m的不燃烧实体围墙。围墙应完好，无破损。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瓶库</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瓶库房屋结构为钢筋混凝土框架结构或钢结构，墙体为不燃烧实体墙</w:t>
            </w:r>
          </w:p>
        </w:tc>
        <w:tc>
          <w:tcPr>
            <w:tcW w:w="965" w:type="dxa"/>
            <w:vAlign w:val="center"/>
          </w:tcPr>
          <w:p>
            <w:pPr>
              <w:spacing w:line="28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报废瓶、过期瓶检查记录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非自有产权气瓶检查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气瓶存放</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抢险电话</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设置安全警示标志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爆炸危险场所的电力装置防爆要求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防雷设施及定期检测情况</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燃气探测器安装及检测记录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复检称量衡器配置及检测记录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安全制度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站点安全巡查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企业安全检查与安全隐患整改</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安全公告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安全评价</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供应管理</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智能监管信息平台</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气瓶入库、配送记录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送气工着装</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送气用车配置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送气终端配置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人员配备和持证上岗管理</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站场负责人配备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站场管理人员配备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送气工配备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rPr>
          <w:rFonts w:cs="Times New Roman" w:asciiTheme="minorEastAsia" w:hAnsiTheme="minorEastAsia"/>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表A.4 液化石油气瓶组用户安全监督检查表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总图布置</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瓶组间不得设置在地下室和半地下室内或密闭空间内</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瓶组间与气化间</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瓶库、气化间结构为钢筋混凝土框架结构或钢结构，墙体为不燃烧实体墙</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瓶库、气化间室内地面为不发生火花面层或铺设防静电胶垫</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瓶组间至少设有2个自然通风口或仅有1个通风口时应安装防爆型的排气扇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瓶库有直通室外的门，门向外开，且不能使用开关时会产生火花的门</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瓶组间与其他房间相邻的墙体不得开设门和窗洞</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气化器</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气化器和混合器的运行应平稳，无异常响声、部件过热、液化石油气泄漏及异常振动等现象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气化器应设有压力表和安全阀</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调压器</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调压器的外表应完好无损，无油污、无腐蚀锈迹等现象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调压器运行记录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安全阀外观应良好无损，在检验有效期内，阀体上应悬挂校验铭牌，并注明下次校验时间，校验铅封应完好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过滤器</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过滤器排污和清洗记录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管道外表应完好无损，无腐蚀迹象，外表防腐涂层应完好，无燃气泄漏现象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仪表和自控系统</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爆炸危险厂房和装置区内应设置燃气探测器，并定期检测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设置安全警示标志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站内爆炸危险场所的电力装置防爆要求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公用辅助设施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变配电室应急照明设备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电缆安全防护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配电室防鼠措施、绝缘垫、绝缘工具配备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表A.4 液化石油气瓶组用户安全监督检查表（续）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安全制度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现场环境</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供气合同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安全检查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安全隐患整改</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表A.5 液化石油气用户安全监督检查表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气瓶</w:t>
            </w: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气瓶存放量符合要求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使用的气瓶应在检测有效期内</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商业用户使用的气瓶组严禁与燃气燃烧器具布置在同一房间内</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管道和附件</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软管外表应完好无损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软管与家用燃具连接时，长度应符合规定要求，并不得有接口</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阀门无损坏，无液化石油气泄漏现象，减压器使用年限应符合要求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燃气用具和设施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燃气热水器应安装在通风良好的非居住房间、过道或阳台内</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商业用气设备应安装在通风良好的专用房间内；商业用气设备不得安装在易燃易爆物品的堆存处，亦不得设置在兼做卧室的警卫室、值班室、人防工程等处。商业用气设备严禁设置在地下室、半地下室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工业企业生产用气设备应安装在通风良好的专用房间内。用气管道上应安装低压和超压报警以及紧急自动切断阀</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维修管理</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维修记录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ascii="Times New Roman" w:hAnsi="Times New Roman" w:cs="Times New Roman"/>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安全宣传</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入户检查</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维修人员培训和考核记录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隐患整改记录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280" w:lineRule="exact"/>
        <w:jc w:val="center"/>
        <w:outlineLvl w:val="0"/>
        <w:rPr>
          <w:rFonts w:cs="Times New Roman" w:asciiTheme="minorEastAsia" w:hAnsiTheme="minorEastAsia"/>
          <w:b/>
          <w:bCs/>
          <w:sz w:val="24"/>
          <w:szCs w:val="24"/>
        </w:rPr>
      </w:pPr>
      <w:bookmarkStart w:id="30" w:name="_Toc9567"/>
      <w:bookmarkStart w:id="31" w:name="_Toc18699"/>
      <w:r>
        <w:rPr>
          <w:rFonts w:hint="eastAsia" w:cs="Times New Roman" w:asciiTheme="minorEastAsia" w:hAnsiTheme="minorEastAsia"/>
          <w:b/>
          <w:bCs/>
          <w:sz w:val="24"/>
          <w:szCs w:val="24"/>
        </w:rPr>
        <w:t>附录</w:t>
      </w:r>
      <w:r>
        <w:rPr>
          <w:rFonts w:ascii="Times New Roman" w:hAnsi="Times New Roman" w:cs="Times New Roman"/>
          <w:b/>
          <w:bCs/>
          <w:sz w:val="24"/>
          <w:szCs w:val="24"/>
        </w:rPr>
        <w:t>B</w:t>
      </w:r>
      <w:bookmarkEnd w:id="30"/>
      <w:bookmarkEnd w:id="31"/>
    </w:p>
    <w:p>
      <w:pPr>
        <w:spacing w:line="280" w:lineRule="exact"/>
        <w:jc w:val="center"/>
        <w:rPr>
          <w:rFonts w:cs="Times New Roman" w:asciiTheme="minorEastAsia" w:hAnsiTheme="minorEastAsia"/>
          <w:b/>
          <w:bCs/>
          <w:sz w:val="24"/>
          <w:szCs w:val="24"/>
        </w:rPr>
      </w:pPr>
      <w:r>
        <w:rPr>
          <w:rFonts w:hint="eastAsia" w:cs="Times New Roman" w:asciiTheme="minorEastAsia" w:hAnsiTheme="minorEastAsia"/>
          <w:b/>
          <w:bCs/>
          <w:sz w:val="24"/>
          <w:szCs w:val="24"/>
        </w:rPr>
        <w:t>（规范性附录）</w:t>
      </w:r>
    </w:p>
    <w:p>
      <w:pPr>
        <w:spacing w:line="280" w:lineRule="exact"/>
        <w:jc w:val="center"/>
        <w:rPr>
          <w:rFonts w:cs="Times New Roman" w:asciiTheme="minorEastAsia" w:hAnsiTheme="minorEastAsia"/>
          <w:b/>
          <w:bCs/>
          <w:sz w:val="24"/>
          <w:szCs w:val="24"/>
        </w:rPr>
      </w:pPr>
      <w:r>
        <w:rPr>
          <w:rFonts w:hint="eastAsia" w:cs="Times New Roman" w:asciiTheme="minorEastAsia" w:hAnsiTheme="minorEastAsia"/>
          <w:b/>
          <w:bCs/>
          <w:sz w:val="24"/>
          <w:szCs w:val="24"/>
        </w:rPr>
        <w:t>企业开展安全监督检查内容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液化石油气运营企业开展安全自查以及对站点开展安全检查，包括以下安全检查表：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表B.1 瓶装液化石油气运营企业安全自检表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146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安全管理机构与人员</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安全生产委员会（领导小组）设置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安全生产管理机构设置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专职安全管理人员配备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146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安全生产规章制度</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安全生产管理制度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安全操作规程、维护保养规程</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安全制度和操作规程检查考核记录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应建立双重防控机制，对危险作业进行分级审批</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3</w:t>
            </w:r>
          </w:p>
        </w:tc>
        <w:tc>
          <w:tcPr>
            <w:tcW w:w="146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抢险与事故管理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抢险点设置和抢险人员配备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抢险设备配置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抢险设备定期维护管理</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生产安全事故应急预案</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生产安全事故现场处置方案</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应急预案备案及修订</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应急演练台账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安全事故和抢险管理台账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146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安全教育培训</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安全培训台账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企业主要负责人和安全管理人员培训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新入职员工安全生产教育培训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在岗从业人员安全培训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特种作业人员教育</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定期开展安全宣传</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5</w:t>
            </w:r>
          </w:p>
        </w:tc>
        <w:tc>
          <w:tcPr>
            <w:tcW w:w="146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重大危险源管理评价</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非重大危险源燃气企业</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企业安全生产自查记录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燃气站点安全检查记录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用户安全检查记录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用户供气协议签订记录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安全隐患整改记录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安全分析会议台账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检查评述</w:t>
            </w:r>
          </w:p>
        </w:tc>
        <w:tc>
          <w:tcPr>
            <w:tcW w:w="1468" w:type="dxa"/>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液化石油气储配站企业安全监督检查表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门卫管理</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出入口警示标志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出入口有应急指引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门卫管理制度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报警装置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门卫室火种箱及出入检查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车辆进出台账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总体布置与防火间距</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储配站布置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建构筑物防火间距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消防通道设置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充装台停靠车辆及车辆安全要求</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危运资质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防火罩佩戴</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车用灭火器配置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车内钢瓶码放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气瓶充装</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气瓶充装前安全检查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高危气瓶充装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报废瓶、过期瓶充装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非自有产权瓶充装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气瓶充装后安全处理 </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气瓶充装后安全检查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劳动保护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使用合格劳动防护用品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作业人员服饰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装卸人员着装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充装台设施配置和维护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灌装秤连锁充装装置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灌装秤定期检测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复检称量衡器配置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复检称量衡器定期检测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视频监控摄像头安装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视频监控摄像头工作状况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灭火器使用状况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充装台安全管理</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厂房结构</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地面不发生火花面层</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充装台防静电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液化石油气储配站企业安全监督检查表（续）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充装台安全管理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功能区划分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气瓶分区存放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线路防爆处理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电器防爆功能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机泵房设备配置和维护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烃泵、压缩机保养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压缩机和烃泵运行状况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过滤器定期维护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阀门维护保养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安全阀运行情况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压力表运行情况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机泵房安全管理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机泵房安全操作规程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机泵房安全警示标志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电器防爆功能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连接管道穿墙保护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压缩机和烃泵安全防护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压缩机、烃泵、储罐运行记录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罐车装卸安全操作</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车辆安全停放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司机当前位置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装卸前资质检查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静电接地报警装置连接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装卸前安全检查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充装台充装作业状况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装卸过程值守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液化石油气储配站企业安全监督检查表（续）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4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罐车装卸安全操作</w:t>
            </w:r>
          </w:p>
        </w:tc>
        <w:tc>
          <w:tcPr>
            <w:tcW w:w="3379"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装卸后安全检查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装卸台柱设施配置及维护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快装接头及拉断阀配置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万向臂拉断阀安装使用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装卸台柱安全管理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装卸检查记录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储罐区设置及管道布置</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罐区地面</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罐区周边护坡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储罐区水封装置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抽水设备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储罐止回阀、紧急切断阀设置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安全阀和放散管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液位计、压力表及液位和压力报警设施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储罐钢梯和平台保养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储罐罐体安全标注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储罐阀门安全防护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储罐检测设施保养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阀门定期维护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液相回流管线阀门开启状态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管道金属线跨接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液化石油气储配站企业安全监督检查表（续）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露天罐体喷淋系统维护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视频监控摄像头安装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视频监控摄像头工作状况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罐区防腐</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罐区安全管理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罐区运行安全监测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罐区运行状况记录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配电发电系统安全管理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配电室门窗安全防护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电缆安全防护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配电室防鼠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发电机组定期检查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发电机现场试验</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消防供水系统安全管理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消防泵测试保养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消防水池和引水灌水位</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站内消防栓维护保养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消防供水系统现场测试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生产区安全环境</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生产区围墙</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地下管沟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消防通道</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释放静电装置设置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值班管理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液化石油气储配站企业安全监督检查表（续）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值班管理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紧急切断开关定期测试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检维修及危险作业许可管理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设备设施检维修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检维修开工许可证、危险作业许可证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检维修安全防护设施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46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防雷防静电设施及其检测</w:t>
            </w:r>
          </w:p>
        </w:tc>
        <w:tc>
          <w:tcPr>
            <w:tcW w:w="3379" w:type="dxa"/>
            <w:vAlign w:val="center"/>
          </w:tcPr>
          <w:p>
            <w:pPr>
              <w:spacing w:line="280" w:lineRule="exact"/>
              <w:jc w:val="left"/>
              <w:rPr>
                <w:rFonts w:ascii="Times New Roman" w:hAnsi="Times New Roman" w:cs="Times New Roman"/>
                <w:sz w:val="18"/>
                <w:szCs w:val="18"/>
              </w:rPr>
            </w:pPr>
            <w:r>
              <w:rPr>
                <w:rFonts w:hint="eastAsia" w:ascii="Times New Roman" w:hAnsi="Times New Roman" w:cs="Times New Roman"/>
                <w:sz w:val="18"/>
                <w:szCs w:val="18"/>
              </w:rPr>
              <w:t>爆炸危险环境场所的防雷装置检测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安全评价报告</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安全评价报告结论</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安全评价报告有效期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应急管理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应急预案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抢险设施配备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定期开展应急演练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应急演练记录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安全培训</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在岗人员安全培训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新入职员工安全教育培训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安全培训记录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操作规程检查考核</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安全管理台账</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安全会议台账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安全检查台账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安全管理制度和操作规程考核台账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重要设施定期检查维护台账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特种设备定期检测和安全技术台账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关键岗位人员配备和持证上岗管理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主要负责人在岗情况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关键岗位作业人员任职资格</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表B.3一级供应站、二级供应站、三级供应站以及便民服务部企业安全监督检查表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资质条件</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营业执照</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产权证明</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消防意见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经营许可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防雷合格证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周边环境与防火间距</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围墙保护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现场环境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瓶库结构安全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瓶库面积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内部防火距离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瓶库房屋结构</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瓶库地面面层</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瓶库通风条件</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瓶库库门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瓶库功能分区</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瓶库防爆安全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电气线路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电气设备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防雷设施安装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燃气储存管理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报废瓶、过期瓶检查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非自有产权气瓶检查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气瓶存放秩序</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燃气储量</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气瓶码放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气瓶露天存放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抢险电话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燃气探测器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燃气探测器安装地点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消防设施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消防栓设置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消防栓维护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表B.3一级供应站、二级供应站、三级供应站以及便民服务部企业安全监督检查表（续）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专用复检称量衡器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复检称量衡器配置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复检称量衡器检测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站点安全巡查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企业安全检查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安全公告</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供应管理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智能监管信息平台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气瓶管理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送气工着装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送气车配置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送气终端配置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燃气购入记录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燃气售出记录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人员配备和持证上岗管理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场站管理人员配备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送气工配备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1468" w:type="dxa"/>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表B.4液化石油气瓶组用户企业安全监督检查表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瓶组间安全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瓶组间设置位置及防火间距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瓶组间设置地点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瓶组间房屋结构</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瓶组间地面面层</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瓶组间通风条件</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瓶组间库门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瓶组间与相邻房间墙体间隔</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电气使用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电气线路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电气设备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燃气探测器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燃气探测器安装地点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消防设施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表B.4液化石油气瓶组用户企业安全监督检查表（续）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燃气使用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气瓶储量</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气瓶合法性</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软管长度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软管固定</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软管使用年限</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现场环境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供气合同</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安全自查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48" w:type="dxa"/>
          </w:tcPr>
          <w:p>
            <w:pPr>
              <w:spacing w:line="26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表B.5液化石油气用户企业安全监督检查表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供气管理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供气合同</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管道和附件</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软管使用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阀门、减压器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燃气用具和设施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居民用气设施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商业用气设施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工业用气设施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气瓶</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气瓶存放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气瓶使用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消防报警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维修管理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抢修电话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维修记录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安全宣传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入户检查</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检修作业</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燃气使用安全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隐患整改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跟踪督促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28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 w:val="24"/>
          <w:szCs w:val="24"/>
        </w:rPr>
      </w:pPr>
    </w:p>
    <w:p>
      <w:pPr>
        <w:spacing w:line="400" w:lineRule="exact"/>
        <w:ind w:firstLine="1124" w:firstLineChars="400"/>
        <w:jc w:val="center"/>
        <w:outlineLvl w:val="0"/>
        <w:rPr>
          <w:rFonts w:ascii="Times New Roman" w:hAnsi="Times New Roman" w:cs="Times New Roman"/>
          <w:b/>
          <w:bCs/>
          <w:sz w:val="28"/>
          <w:szCs w:val="28"/>
        </w:rPr>
      </w:pPr>
      <w:bookmarkStart w:id="32" w:name="_Toc16765"/>
      <w:bookmarkStart w:id="33" w:name="_Toc24546"/>
      <w:bookmarkStart w:id="34" w:name="_Toc28894"/>
      <w:bookmarkStart w:id="35" w:name="_Toc9940"/>
      <w:r>
        <w:rPr>
          <w:rFonts w:hint="eastAsia" w:ascii="Times New Roman" w:hAnsi="Times New Roman" w:cs="Times New Roman"/>
          <w:b/>
          <w:bCs/>
          <w:sz w:val="28"/>
          <w:szCs w:val="28"/>
        </w:rPr>
        <w:t>本标准用词说明</w:t>
      </w:r>
      <w:bookmarkEnd w:id="32"/>
      <w:bookmarkEnd w:id="33"/>
      <w:bookmarkEnd w:id="34"/>
      <w:bookmarkEnd w:id="35"/>
    </w:p>
    <w:p>
      <w:pPr>
        <w:spacing w:line="440" w:lineRule="exact"/>
        <w:jc w:val="center"/>
        <w:rPr>
          <w:rFonts w:ascii="Times New Roman" w:hAnsi="Times New Roman" w:cs="Times New Roman"/>
          <w:b/>
          <w:bCs/>
          <w:sz w:val="24"/>
          <w:szCs w:val="24"/>
        </w:rPr>
      </w:pPr>
    </w:p>
    <w:p>
      <w:pPr>
        <w:spacing w:line="400" w:lineRule="atLeast"/>
        <w:jc w:val="left"/>
        <w:rPr>
          <w:rFonts w:cs="Times New Roman" w:asciiTheme="minorEastAsia" w:hAnsiTheme="minorEastAsia"/>
          <w:bCs/>
          <w:sz w:val="24"/>
          <w:szCs w:val="24"/>
        </w:rPr>
      </w:pPr>
      <w:r>
        <w:rPr>
          <w:rFonts w:hint="eastAsia" w:cs="Times New Roman" w:asciiTheme="minorEastAsia" w:hAnsiTheme="minorEastAsia"/>
          <w:bCs/>
          <w:sz w:val="24"/>
          <w:szCs w:val="24"/>
        </w:rPr>
        <w:t>1 为便于在执行本标准条文时区别对待，对要求严格程度不同的用词说明如下：</w:t>
      </w:r>
    </w:p>
    <w:p>
      <w:pPr>
        <w:pStyle w:val="23"/>
        <w:numPr>
          <w:ilvl w:val="0"/>
          <w:numId w:val="1"/>
        </w:numPr>
        <w:spacing w:line="400" w:lineRule="atLeast"/>
        <w:ind w:firstLineChars="0"/>
        <w:jc w:val="left"/>
        <w:outlineLvl w:val="0"/>
        <w:rPr>
          <w:rFonts w:cs="Times New Roman" w:asciiTheme="minorEastAsia" w:hAnsiTheme="minorEastAsia"/>
          <w:bCs/>
          <w:sz w:val="24"/>
          <w:szCs w:val="24"/>
        </w:rPr>
      </w:pPr>
      <w:bookmarkStart w:id="36" w:name="_Toc14502"/>
      <w:bookmarkStart w:id="37" w:name="_Toc1359"/>
      <w:bookmarkStart w:id="38" w:name="_Toc2392"/>
      <w:bookmarkStart w:id="39" w:name="_Toc4205"/>
      <w:r>
        <w:rPr>
          <w:rFonts w:hint="eastAsia" w:cs="Times New Roman" w:asciiTheme="minorEastAsia" w:hAnsiTheme="minorEastAsia"/>
          <w:bCs/>
          <w:sz w:val="24"/>
          <w:szCs w:val="24"/>
        </w:rPr>
        <w:t>表示很严格，非这样做不可的：</w:t>
      </w:r>
      <w:bookmarkEnd w:id="36"/>
      <w:bookmarkEnd w:id="37"/>
      <w:bookmarkEnd w:id="38"/>
      <w:bookmarkEnd w:id="39"/>
    </w:p>
    <w:p>
      <w:pPr>
        <w:spacing w:line="400" w:lineRule="atLeast"/>
        <w:ind w:firstLine="960" w:firstLineChars="400"/>
        <w:rPr>
          <w:rFonts w:cs="Times New Roman" w:asciiTheme="minorEastAsia" w:hAnsiTheme="minorEastAsia"/>
          <w:bCs/>
          <w:sz w:val="24"/>
          <w:szCs w:val="24"/>
        </w:rPr>
      </w:pPr>
      <w:r>
        <w:rPr>
          <w:rFonts w:hint="eastAsia" w:cs="Times New Roman" w:asciiTheme="minorEastAsia" w:hAnsiTheme="minorEastAsia"/>
          <w:bCs/>
          <w:sz w:val="24"/>
          <w:szCs w:val="24"/>
        </w:rPr>
        <w:t>正面词采用“必须”，反面词采用“严禁”；</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40" w:name="_Toc23196"/>
      <w:bookmarkStart w:id="41" w:name="_Toc30177"/>
      <w:bookmarkStart w:id="42" w:name="_Toc31380"/>
      <w:bookmarkStart w:id="43" w:name="_Toc2369"/>
      <w:r>
        <w:rPr>
          <w:rFonts w:hint="eastAsia" w:cs="Times New Roman" w:asciiTheme="minorEastAsia" w:hAnsiTheme="minorEastAsia"/>
          <w:bCs/>
          <w:sz w:val="24"/>
          <w:szCs w:val="24"/>
        </w:rPr>
        <w:t>表示严格，在正常情况下均应这样做的：</w:t>
      </w:r>
      <w:bookmarkEnd w:id="40"/>
      <w:bookmarkEnd w:id="41"/>
      <w:bookmarkEnd w:id="42"/>
      <w:bookmarkEnd w:id="43"/>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正面词采用“应”，反面词采用“不应”或“不得”；</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44" w:name="_Toc7402"/>
      <w:bookmarkStart w:id="45" w:name="_Toc24683"/>
      <w:bookmarkStart w:id="46" w:name="_Toc24680"/>
      <w:bookmarkStart w:id="47" w:name="_Toc16154"/>
      <w:r>
        <w:rPr>
          <w:rFonts w:hint="eastAsia" w:cs="Times New Roman" w:asciiTheme="minorEastAsia" w:hAnsiTheme="minorEastAsia"/>
          <w:bCs/>
          <w:sz w:val="24"/>
          <w:szCs w:val="24"/>
        </w:rPr>
        <w:t>表示允许稍有选择，在条件许可时首先应这样做的：</w:t>
      </w:r>
      <w:bookmarkEnd w:id="44"/>
      <w:bookmarkEnd w:id="45"/>
      <w:bookmarkEnd w:id="46"/>
      <w:bookmarkEnd w:id="47"/>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正面词采用“宜”，反面词采用“不宜”；</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48" w:name="_Toc30484"/>
      <w:bookmarkStart w:id="49" w:name="_Toc14595"/>
      <w:bookmarkStart w:id="50" w:name="_Toc1443"/>
      <w:bookmarkStart w:id="51" w:name="_Toc31408"/>
      <w:r>
        <w:rPr>
          <w:rFonts w:hint="eastAsia" w:cs="Times New Roman" w:asciiTheme="minorEastAsia" w:hAnsiTheme="minorEastAsia"/>
          <w:bCs/>
          <w:sz w:val="24"/>
          <w:szCs w:val="24"/>
        </w:rPr>
        <w:t>表示有选择，在一定条件下可以这样做的，采用“可”。</w:t>
      </w:r>
      <w:bookmarkEnd w:id="48"/>
      <w:bookmarkEnd w:id="49"/>
      <w:bookmarkEnd w:id="50"/>
      <w:bookmarkEnd w:id="51"/>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2  条文中指明应按其他有关标准执行的写法为：“应符合……的规定”或“应按……执行”。</w:t>
      </w:r>
    </w:p>
    <w:p>
      <w:pPr>
        <w:spacing w:line="400" w:lineRule="atLeast"/>
        <w:ind w:firstLine="964" w:firstLineChars="400"/>
        <w:rPr>
          <w:rFonts w:cs="Times New Roman" w:asciiTheme="minorEastAsia" w:hAnsiTheme="minorEastAsia"/>
          <w:b/>
          <w:bCs/>
          <w:sz w:val="24"/>
          <w:szCs w:val="24"/>
        </w:rPr>
      </w:pPr>
    </w:p>
    <w:p>
      <w:pPr>
        <w:spacing w:line="400" w:lineRule="atLeast"/>
        <w:ind w:firstLine="964" w:firstLineChars="400"/>
        <w:rPr>
          <w:rFonts w:ascii="Times New Roman" w:hAnsi="Times New Roman" w:cs="Times New Roman"/>
          <w:b/>
          <w:bCs/>
          <w:sz w:val="24"/>
          <w:szCs w:val="24"/>
        </w:rPr>
      </w:pPr>
    </w:p>
    <w:p>
      <w:pPr>
        <w:spacing w:line="400" w:lineRule="atLeast"/>
        <w:ind w:firstLine="964" w:firstLineChars="400"/>
        <w:rPr>
          <w:rFonts w:ascii="Times New Roman" w:hAnsi="Times New Roman" w:cs="Times New Roman"/>
          <w:b/>
          <w:bCs/>
          <w:sz w:val="24"/>
          <w:szCs w:val="24"/>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Cs w:val="21"/>
        </w:rPr>
      </w:pPr>
    </w:p>
    <w:p>
      <w:pPr>
        <w:spacing w:line="400" w:lineRule="exact"/>
        <w:ind w:firstLine="1205" w:firstLineChars="400"/>
        <w:jc w:val="center"/>
        <w:rPr>
          <w:rFonts w:ascii="Times New Roman" w:hAnsi="Times New Roman" w:cs="Times New Roman"/>
          <w:b/>
          <w:bCs/>
          <w:sz w:val="30"/>
          <w:szCs w:val="30"/>
        </w:rPr>
      </w:pPr>
    </w:p>
    <w:p>
      <w:pPr>
        <w:spacing w:line="400" w:lineRule="exact"/>
        <w:ind w:firstLine="1124" w:firstLineChars="400"/>
        <w:jc w:val="center"/>
        <w:outlineLvl w:val="0"/>
        <w:rPr>
          <w:rFonts w:ascii="Times New Roman" w:hAnsi="Times New Roman" w:cs="Times New Roman"/>
          <w:b/>
          <w:bCs/>
          <w:sz w:val="28"/>
          <w:szCs w:val="28"/>
        </w:rPr>
      </w:pPr>
      <w:bookmarkStart w:id="52" w:name="_Toc7364"/>
      <w:bookmarkStart w:id="53" w:name="_Toc23219"/>
      <w:bookmarkStart w:id="54" w:name="_Toc17310"/>
      <w:bookmarkStart w:id="55" w:name="_Toc31541"/>
      <w:r>
        <w:rPr>
          <w:rFonts w:hint="eastAsia" w:ascii="Times New Roman" w:hAnsi="Times New Roman" w:cs="Times New Roman"/>
          <w:b/>
          <w:bCs/>
          <w:sz w:val="28"/>
          <w:szCs w:val="28"/>
        </w:rPr>
        <w:t>引用标准名录</w:t>
      </w:r>
      <w:bookmarkEnd w:id="52"/>
      <w:bookmarkEnd w:id="53"/>
      <w:bookmarkEnd w:id="54"/>
      <w:bookmarkEnd w:id="55"/>
    </w:p>
    <w:p>
      <w:pPr>
        <w:spacing w:line="400" w:lineRule="exact"/>
        <w:ind w:firstLine="1124" w:firstLineChars="400"/>
        <w:jc w:val="center"/>
        <w:outlineLvl w:val="0"/>
        <w:rPr>
          <w:rFonts w:ascii="Times New Roman" w:hAnsi="Times New Roman" w:cs="Times New Roman"/>
          <w:b/>
          <w:bCs/>
          <w:sz w:val="28"/>
          <w:szCs w:val="28"/>
        </w:rPr>
      </w:pPr>
    </w:p>
    <w:p>
      <w:pPr>
        <w:spacing w:line="400" w:lineRule="atLeast"/>
        <w:ind w:firstLine="360" w:firstLineChars="150"/>
        <w:outlineLvl w:val="0"/>
        <w:rPr>
          <w:rFonts w:cs="Times New Roman" w:asciiTheme="minorEastAsia" w:hAnsiTheme="minorEastAsia"/>
          <w:sz w:val="24"/>
          <w:szCs w:val="24"/>
        </w:rPr>
      </w:pPr>
      <w:r>
        <w:rPr>
          <w:rFonts w:cs="Times New Roman" w:asciiTheme="minorEastAsia" w:hAnsi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numPr>
          <w:ilvl w:val="0"/>
          <w:numId w:val="2"/>
        </w:numPr>
        <w:spacing w:line="400" w:lineRule="atLeast"/>
        <w:outlineLvl w:val="0"/>
        <w:rPr>
          <w:rFonts w:cs="Times New Roman" w:asciiTheme="minorEastAsia" w:hAnsiTheme="minorEastAsia"/>
          <w:sz w:val="24"/>
          <w:szCs w:val="24"/>
        </w:rPr>
      </w:pPr>
      <w:bookmarkStart w:id="56" w:name="_Toc6839"/>
      <w:bookmarkStart w:id="57" w:name="_Toc29324"/>
      <w:bookmarkStart w:id="58" w:name="_Toc18422"/>
      <w:bookmarkStart w:id="59" w:name="_Toc30115"/>
      <w:r>
        <w:rPr>
          <w:rFonts w:hint="eastAsia" w:cs="Times New Roman" w:asciiTheme="minorEastAsia" w:hAnsiTheme="minorEastAsia"/>
          <w:sz w:val="24"/>
          <w:szCs w:val="24"/>
        </w:rPr>
        <w:t>《</w:t>
      </w:r>
      <w:r>
        <w:rPr>
          <w:rFonts w:cs="Times New Roman" w:asciiTheme="minorEastAsia" w:hAnsiTheme="minorEastAsia"/>
          <w:sz w:val="24"/>
          <w:szCs w:val="24"/>
        </w:rPr>
        <w:t>危险化学品重大危险源辨识</w:t>
      </w:r>
      <w:r>
        <w:rPr>
          <w:rFonts w:hint="eastAsia" w:cs="Times New Roman" w:asciiTheme="minorEastAsia" w:hAnsiTheme="minorEastAsia"/>
          <w:sz w:val="24"/>
          <w:szCs w:val="24"/>
        </w:rPr>
        <w:t>》</w:t>
      </w:r>
      <w:r>
        <w:rPr>
          <w:rFonts w:ascii="Times New Roman" w:hAnsi="Times New Roman" w:cs="Times New Roman"/>
          <w:sz w:val="24"/>
          <w:szCs w:val="24"/>
        </w:rPr>
        <w:t>GB 18218</w:t>
      </w:r>
      <w:bookmarkEnd w:id="56"/>
      <w:bookmarkEnd w:id="57"/>
      <w:bookmarkEnd w:id="58"/>
      <w:bookmarkEnd w:id="59"/>
    </w:p>
    <w:p>
      <w:pPr>
        <w:numPr>
          <w:ilvl w:val="0"/>
          <w:numId w:val="2"/>
        </w:num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《建筑消防设施的维护管理》</w:t>
      </w:r>
      <w:r>
        <w:rPr>
          <w:rFonts w:ascii="Times New Roman" w:hAnsi="Times New Roman" w:cs="Times New Roman"/>
          <w:sz w:val="24"/>
          <w:szCs w:val="24"/>
        </w:rPr>
        <w:t>GB 25201</w:t>
      </w:r>
      <w:bookmarkStart w:id="60" w:name="_Toc21342"/>
      <w:bookmarkStart w:id="61" w:name="_Toc7898"/>
      <w:bookmarkStart w:id="62" w:name="_Toc14010"/>
      <w:bookmarkStart w:id="63" w:name="_Toc29338"/>
    </w:p>
    <w:p>
      <w:pPr>
        <w:numPr>
          <w:ilvl w:val="0"/>
          <w:numId w:val="2"/>
        </w:num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《生产经营单位生产安全事故应急预案编制导则》</w:t>
      </w:r>
      <w:r>
        <w:rPr>
          <w:rFonts w:ascii="Times New Roman" w:hAnsi="Times New Roman" w:cs="Times New Roman"/>
          <w:sz w:val="24"/>
          <w:szCs w:val="24"/>
        </w:rPr>
        <w:t>GB/T 29639</w:t>
      </w:r>
      <w:bookmarkEnd w:id="60"/>
      <w:bookmarkEnd w:id="61"/>
      <w:bookmarkEnd w:id="62"/>
      <w:bookmarkEnd w:id="63"/>
      <w:r>
        <w:rPr>
          <w:rFonts w:hint="eastAsia" w:cs="Times New Roman" w:asciiTheme="minorEastAsia" w:hAnsiTheme="minorEastAsia"/>
          <w:sz w:val="24"/>
          <w:szCs w:val="24"/>
        </w:rPr>
        <w:t>4</w:t>
      </w:r>
    </w:p>
    <w:p>
      <w:pPr>
        <w:numPr>
          <w:ilvl w:val="0"/>
          <w:numId w:val="2"/>
        </w:num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《企业安全生产标准化基本规范》</w:t>
      </w:r>
      <w:r>
        <w:rPr>
          <w:rFonts w:ascii="Times New Roman" w:hAnsi="Times New Roman" w:cs="Times New Roman"/>
          <w:sz w:val="24"/>
          <w:szCs w:val="24"/>
        </w:rPr>
        <w:t>GB/T 33000</w:t>
      </w:r>
    </w:p>
    <w:p>
      <w:pPr>
        <w:spacing w:line="400" w:lineRule="atLeast"/>
        <w:outlineLvl w:val="0"/>
        <w:rPr>
          <w:rFonts w:cs="Times New Roman" w:asciiTheme="minorEastAsia" w:hAnsiTheme="minorEastAsia"/>
          <w:sz w:val="24"/>
          <w:szCs w:val="24"/>
        </w:rPr>
      </w:pPr>
      <w:bookmarkStart w:id="64" w:name="_Toc30293"/>
      <w:bookmarkStart w:id="65" w:name="_Toc30167"/>
      <w:bookmarkStart w:id="66" w:name="_Toc20702"/>
      <w:bookmarkStart w:id="67" w:name="_Toc9605"/>
      <w:r>
        <w:rPr>
          <w:rFonts w:hint="eastAsia" w:cs="Times New Roman" w:asciiTheme="minorEastAsia" w:hAnsiTheme="minorEastAsia"/>
          <w:sz w:val="24"/>
          <w:szCs w:val="24"/>
        </w:rPr>
        <w:t>5、《建筑设计防火规范》</w:t>
      </w:r>
      <w:r>
        <w:rPr>
          <w:rFonts w:ascii="Times New Roman" w:hAnsi="Times New Roman" w:cs="Times New Roman"/>
          <w:sz w:val="24"/>
          <w:szCs w:val="24"/>
        </w:rPr>
        <w:t>GB50016</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6、《</w:t>
      </w:r>
      <w:r>
        <w:rPr>
          <w:rFonts w:cs="Times New Roman" w:asciiTheme="minorEastAsia" w:hAnsiTheme="minorEastAsia"/>
          <w:sz w:val="24"/>
          <w:szCs w:val="24"/>
        </w:rPr>
        <w:t>城镇燃气设计规范</w:t>
      </w:r>
      <w:r>
        <w:rPr>
          <w:rFonts w:hint="eastAsia" w:cs="Times New Roman" w:asciiTheme="minorEastAsia" w:hAnsiTheme="minorEastAsia"/>
          <w:sz w:val="24"/>
          <w:szCs w:val="24"/>
        </w:rPr>
        <w:t>》</w:t>
      </w:r>
      <w:r>
        <w:rPr>
          <w:rFonts w:ascii="Times New Roman" w:hAnsi="Times New Roman" w:cs="Times New Roman"/>
          <w:sz w:val="24"/>
          <w:szCs w:val="24"/>
        </w:rPr>
        <w:t>GB 50028</w:t>
      </w:r>
      <w:bookmarkEnd w:id="64"/>
      <w:bookmarkEnd w:id="65"/>
      <w:bookmarkEnd w:id="66"/>
      <w:bookmarkEnd w:id="67"/>
    </w:p>
    <w:p>
      <w:pPr>
        <w:spacing w:line="400" w:lineRule="atLeast"/>
        <w:outlineLvl w:val="0"/>
        <w:rPr>
          <w:rFonts w:cs="Times New Roman" w:asciiTheme="minorEastAsia" w:hAnsiTheme="minorEastAsia"/>
          <w:sz w:val="24"/>
          <w:szCs w:val="24"/>
        </w:rPr>
      </w:pPr>
      <w:bookmarkStart w:id="68" w:name="_Toc29975"/>
      <w:bookmarkStart w:id="69" w:name="_Toc23429"/>
      <w:bookmarkStart w:id="70" w:name="_Toc6063"/>
      <w:bookmarkStart w:id="71" w:name="_Toc23277"/>
      <w:r>
        <w:rPr>
          <w:rFonts w:hint="eastAsia" w:cs="Times New Roman" w:asciiTheme="minorEastAsia" w:hAnsiTheme="minorEastAsia"/>
          <w:sz w:val="24"/>
          <w:szCs w:val="24"/>
        </w:rPr>
        <w:t>7、《</w:t>
      </w:r>
      <w:r>
        <w:rPr>
          <w:rFonts w:cs="Times New Roman" w:asciiTheme="minorEastAsia" w:hAnsiTheme="minorEastAsia"/>
          <w:sz w:val="24"/>
          <w:szCs w:val="24"/>
        </w:rPr>
        <w:t>建筑物防雷设计规范</w:t>
      </w:r>
      <w:r>
        <w:rPr>
          <w:rFonts w:hint="eastAsia" w:cs="Times New Roman" w:asciiTheme="minorEastAsia" w:hAnsiTheme="minorEastAsia"/>
          <w:sz w:val="24"/>
          <w:szCs w:val="24"/>
        </w:rPr>
        <w:t>》</w:t>
      </w:r>
      <w:r>
        <w:rPr>
          <w:rFonts w:ascii="Times New Roman" w:hAnsi="Times New Roman" w:cs="Times New Roman"/>
          <w:sz w:val="24"/>
          <w:szCs w:val="24"/>
        </w:rPr>
        <w:t>GB 50057</w:t>
      </w:r>
      <w:bookmarkEnd w:id="68"/>
      <w:bookmarkEnd w:id="69"/>
      <w:bookmarkEnd w:id="70"/>
      <w:bookmarkEnd w:id="71"/>
    </w:p>
    <w:p>
      <w:pPr>
        <w:spacing w:line="400" w:lineRule="atLeast"/>
        <w:outlineLvl w:val="0"/>
        <w:rPr>
          <w:rFonts w:cs="Times New Roman" w:asciiTheme="minorEastAsia" w:hAnsiTheme="minorEastAsia"/>
          <w:sz w:val="24"/>
          <w:szCs w:val="24"/>
        </w:rPr>
      </w:pPr>
      <w:bookmarkStart w:id="72" w:name="_Toc21995"/>
      <w:bookmarkStart w:id="73" w:name="_Toc7686"/>
      <w:bookmarkStart w:id="74" w:name="_Toc31890"/>
      <w:bookmarkStart w:id="75" w:name="_Toc16756"/>
      <w:r>
        <w:rPr>
          <w:rFonts w:hint="eastAsia" w:cs="Times New Roman" w:asciiTheme="minorEastAsia" w:hAnsiTheme="minorEastAsia"/>
          <w:sz w:val="24"/>
          <w:szCs w:val="24"/>
        </w:rPr>
        <w:t>8、《</w:t>
      </w:r>
      <w:r>
        <w:rPr>
          <w:rFonts w:cs="Times New Roman" w:asciiTheme="minorEastAsia" w:hAnsiTheme="minorEastAsia"/>
          <w:sz w:val="24"/>
          <w:szCs w:val="24"/>
        </w:rPr>
        <w:t>液化石油气供应工程设计规范</w:t>
      </w:r>
      <w:r>
        <w:rPr>
          <w:rFonts w:hint="eastAsia" w:cs="Times New Roman" w:asciiTheme="minorEastAsia" w:hAnsiTheme="minorEastAsia"/>
          <w:sz w:val="24"/>
          <w:szCs w:val="24"/>
        </w:rPr>
        <w:t>》</w:t>
      </w:r>
      <w:r>
        <w:rPr>
          <w:rFonts w:ascii="Times New Roman" w:hAnsi="Times New Roman" w:cs="Times New Roman"/>
          <w:sz w:val="24"/>
          <w:szCs w:val="24"/>
        </w:rPr>
        <w:t>GB 51142</w:t>
      </w:r>
      <w:bookmarkEnd w:id="72"/>
      <w:bookmarkEnd w:id="73"/>
      <w:bookmarkEnd w:id="74"/>
      <w:bookmarkEnd w:id="75"/>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9、《城镇燃气设施运行、维护和抢修安全技术规程》</w:t>
      </w:r>
      <w:r>
        <w:rPr>
          <w:rFonts w:ascii="Times New Roman" w:hAnsi="Times New Roman" w:cs="Times New Roman"/>
          <w:sz w:val="24"/>
          <w:szCs w:val="24"/>
        </w:rPr>
        <w:t>CJJ 51</w:t>
      </w:r>
    </w:p>
    <w:p>
      <w:pPr>
        <w:spacing w:line="400" w:lineRule="atLeast"/>
        <w:outlineLvl w:val="0"/>
        <w:rPr>
          <w:rFonts w:cs="Times New Roman" w:asciiTheme="minorEastAsia" w:hAnsiTheme="minorEastAsia"/>
          <w:sz w:val="24"/>
          <w:szCs w:val="24"/>
        </w:rPr>
      </w:pPr>
      <w:bookmarkStart w:id="76" w:name="_Toc23615"/>
      <w:bookmarkStart w:id="77" w:name="_Toc4280"/>
      <w:bookmarkStart w:id="78" w:name="_Toc17063"/>
      <w:bookmarkStart w:id="79" w:name="_Toc21155"/>
      <w:r>
        <w:rPr>
          <w:rFonts w:hint="eastAsia" w:cs="Times New Roman" w:asciiTheme="minorEastAsia" w:hAnsiTheme="minorEastAsia"/>
          <w:sz w:val="24"/>
          <w:szCs w:val="24"/>
        </w:rPr>
        <w:t>10、《企业安全文化建设导则》</w:t>
      </w:r>
      <w:r>
        <w:rPr>
          <w:rFonts w:ascii="Times New Roman" w:hAnsi="Times New Roman" w:cs="Times New Roman"/>
          <w:sz w:val="24"/>
          <w:szCs w:val="24"/>
        </w:rPr>
        <w:t>AQ/T 9004</w:t>
      </w:r>
      <w:bookmarkEnd w:id="76"/>
      <w:bookmarkEnd w:id="77"/>
      <w:bookmarkEnd w:id="78"/>
      <w:bookmarkEnd w:id="79"/>
    </w:p>
    <w:p>
      <w:pPr>
        <w:spacing w:line="400" w:lineRule="atLeast"/>
        <w:outlineLvl w:val="0"/>
        <w:rPr>
          <w:rFonts w:cs="Times New Roman" w:asciiTheme="minorEastAsia" w:hAnsiTheme="minorEastAsia"/>
          <w:sz w:val="24"/>
          <w:szCs w:val="24"/>
        </w:rPr>
      </w:pPr>
      <w:bookmarkStart w:id="80" w:name="_Toc11841"/>
      <w:bookmarkStart w:id="81" w:name="_Toc11293"/>
      <w:bookmarkStart w:id="82" w:name="_Toc6977"/>
      <w:bookmarkStart w:id="83" w:name="_Toc8775"/>
      <w:r>
        <w:rPr>
          <w:rFonts w:hint="eastAsia" w:cs="Times New Roman" w:asciiTheme="minorEastAsia" w:hAnsiTheme="minorEastAsia"/>
          <w:sz w:val="24"/>
          <w:szCs w:val="24"/>
        </w:rPr>
        <w:t>11、《石油化工静电接地规范》</w:t>
      </w:r>
      <w:r>
        <w:rPr>
          <w:rFonts w:ascii="Times New Roman" w:hAnsi="Times New Roman" w:cs="Times New Roman"/>
          <w:sz w:val="24"/>
          <w:szCs w:val="24"/>
        </w:rPr>
        <w:t>SH/T 3097</w:t>
      </w:r>
      <w:bookmarkEnd w:id="80"/>
      <w:bookmarkEnd w:id="81"/>
      <w:bookmarkEnd w:id="82"/>
      <w:bookmarkEnd w:id="83"/>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Cs w:val="21"/>
        </w:rPr>
      </w:pPr>
    </w:p>
    <w:p>
      <w:pPr>
        <w:spacing w:line="400" w:lineRule="exact"/>
        <w:ind w:firstLine="1205" w:firstLineChars="400"/>
        <w:jc w:val="center"/>
        <w:rPr>
          <w:rFonts w:ascii="Times New Roman" w:hAnsi="Times New Roman" w:cs="Times New Roman"/>
          <w:b/>
          <w:bCs/>
          <w:sz w:val="30"/>
          <w:szCs w:val="30"/>
        </w:rPr>
      </w:pPr>
    </w:p>
    <w:p>
      <w:pPr>
        <w:spacing w:line="400" w:lineRule="exact"/>
        <w:ind w:firstLine="1205" w:firstLineChars="400"/>
        <w:jc w:val="center"/>
        <w:rPr>
          <w:rFonts w:ascii="Times New Roman" w:hAnsi="Times New Roman" w:cs="Times New Roman"/>
          <w:b/>
          <w:bCs/>
          <w:sz w:val="30"/>
          <w:szCs w:val="30"/>
        </w:rPr>
      </w:pPr>
    </w:p>
    <w:p>
      <w:pPr>
        <w:spacing w:line="400" w:lineRule="exact"/>
        <w:ind w:firstLine="1124" w:firstLineChars="400"/>
        <w:jc w:val="center"/>
        <w:outlineLvl w:val="0"/>
        <w:rPr>
          <w:rFonts w:ascii="Times New Roman" w:hAnsi="Times New Roman" w:cs="Times New Roman"/>
          <w:b/>
          <w:bCs/>
          <w:sz w:val="28"/>
          <w:szCs w:val="28"/>
        </w:rPr>
      </w:pPr>
      <w:bookmarkStart w:id="84" w:name="_Toc28882"/>
      <w:bookmarkStart w:id="85" w:name="_Toc27493"/>
      <w:bookmarkStart w:id="86" w:name="_Toc8002"/>
      <w:bookmarkStart w:id="87" w:name="_Toc11560"/>
      <w:r>
        <w:rPr>
          <w:rFonts w:hint="eastAsia" w:ascii="Times New Roman" w:hAnsi="Times New Roman" w:cs="Times New Roman"/>
          <w:b/>
          <w:bCs/>
          <w:sz w:val="28"/>
          <w:szCs w:val="28"/>
        </w:rPr>
        <w:t>云南省地方标准</w:t>
      </w:r>
      <w:bookmarkEnd w:id="84"/>
      <w:bookmarkEnd w:id="85"/>
      <w:bookmarkEnd w:id="86"/>
      <w:bookmarkEnd w:id="87"/>
    </w:p>
    <w:p>
      <w:pPr>
        <w:spacing w:line="400" w:lineRule="exact"/>
        <w:ind w:firstLine="1205" w:firstLineChars="400"/>
        <w:rPr>
          <w:rFonts w:ascii="Times New Roman" w:hAnsi="Times New Roman" w:cs="Times New Roman"/>
          <w:b/>
          <w:bCs/>
          <w:sz w:val="30"/>
          <w:szCs w:val="30"/>
        </w:rPr>
      </w:pPr>
    </w:p>
    <w:p>
      <w:pPr>
        <w:spacing w:line="400" w:lineRule="exact"/>
        <w:ind w:firstLine="1205" w:firstLineChars="400"/>
        <w:jc w:val="center"/>
        <w:rPr>
          <w:rFonts w:ascii="Times New Roman" w:hAnsi="Times New Roman" w:cs="Times New Roman"/>
          <w:b/>
          <w:bCs/>
          <w:sz w:val="30"/>
          <w:szCs w:val="30"/>
        </w:rPr>
      </w:pPr>
    </w:p>
    <w:p>
      <w:pPr>
        <w:spacing w:line="400" w:lineRule="atLeast"/>
        <w:jc w:val="center"/>
        <w:outlineLvl w:val="0"/>
        <w:rPr>
          <w:rFonts w:asciiTheme="minorEastAsia" w:hAnsiTheme="minorEastAsia"/>
          <w:sz w:val="24"/>
          <w:szCs w:val="24"/>
        </w:rPr>
      </w:pPr>
      <w:bookmarkStart w:id="88" w:name="_Toc1969"/>
      <w:bookmarkStart w:id="89" w:name="_Toc30660"/>
      <w:bookmarkStart w:id="90" w:name="_Toc25223"/>
      <w:bookmarkStart w:id="91" w:name="_Toc18290"/>
      <w:r>
        <w:rPr>
          <w:rFonts w:hint="eastAsia" w:asciiTheme="minorEastAsia" w:hAnsiTheme="minorEastAsia"/>
          <w:sz w:val="24"/>
          <w:szCs w:val="24"/>
        </w:rPr>
        <w:t>燃气运营企业安全管理标准第</w:t>
      </w:r>
      <w:r>
        <w:rPr>
          <w:rFonts w:ascii="Times New Roman" w:hAnsi="Times New Roman" w:cs="Times New Roman"/>
          <w:sz w:val="24"/>
          <w:szCs w:val="24"/>
        </w:rPr>
        <w:t>1</w:t>
      </w:r>
      <w:r>
        <w:rPr>
          <w:rFonts w:hint="eastAsia" w:asciiTheme="minorEastAsia" w:hAnsiTheme="minorEastAsia"/>
          <w:sz w:val="24"/>
          <w:szCs w:val="24"/>
        </w:rPr>
        <w:t>部分：液化石油气运营企业</w:t>
      </w:r>
      <w:bookmarkEnd w:id="88"/>
      <w:bookmarkEnd w:id="89"/>
      <w:bookmarkEnd w:id="90"/>
      <w:bookmarkEnd w:id="91"/>
    </w:p>
    <w:p>
      <w:pPr>
        <w:spacing w:line="400" w:lineRule="atLeast"/>
        <w:ind w:firstLine="960" w:firstLineChars="400"/>
        <w:jc w:val="center"/>
        <w:rPr>
          <w:rFonts w:ascii="Times New Roman" w:hAnsi="Times New Roman" w:cs="Times New Roman"/>
          <w:bCs/>
          <w:sz w:val="24"/>
          <w:szCs w:val="24"/>
        </w:rPr>
      </w:pPr>
      <w:r>
        <w:rPr>
          <w:rFonts w:ascii="Times New Roman" w:hAnsi="Times New Roman" w:cs="Times New Roman"/>
          <w:bCs/>
          <w:sz w:val="24"/>
          <w:szCs w:val="24"/>
        </w:rPr>
        <w:t>DB 53/T XXX-XXX</w:t>
      </w:r>
    </w:p>
    <w:p>
      <w:pPr>
        <w:spacing w:line="400" w:lineRule="atLeast"/>
        <w:ind w:firstLine="960" w:firstLineChars="400"/>
        <w:jc w:val="center"/>
        <w:outlineLvl w:val="0"/>
        <w:rPr>
          <w:rFonts w:cs="Times New Roman" w:asciiTheme="minorEastAsia" w:hAnsiTheme="minorEastAsia"/>
          <w:bCs/>
          <w:sz w:val="24"/>
          <w:szCs w:val="24"/>
        </w:rPr>
      </w:pPr>
      <w:bookmarkStart w:id="92" w:name="_Toc11412"/>
      <w:bookmarkStart w:id="93" w:name="_Toc15497"/>
      <w:bookmarkStart w:id="94" w:name="_Toc4002"/>
      <w:bookmarkStart w:id="95" w:name="_Toc7495"/>
      <w:r>
        <w:rPr>
          <w:rFonts w:hint="eastAsia" w:cs="Times New Roman" w:asciiTheme="minorEastAsia" w:hAnsiTheme="minorEastAsia"/>
          <w:bCs/>
          <w:sz w:val="24"/>
          <w:szCs w:val="24"/>
        </w:rPr>
        <w:t>条文说明</w:t>
      </w:r>
      <w:bookmarkEnd w:id="92"/>
      <w:bookmarkEnd w:id="93"/>
      <w:bookmarkEnd w:id="94"/>
      <w:bookmarkEnd w:id="95"/>
    </w:p>
    <w:p>
      <w:pPr>
        <w:spacing w:line="400" w:lineRule="atLeast"/>
        <w:ind w:firstLine="960" w:firstLineChars="400"/>
        <w:jc w:val="center"/>
        <w:rPr>
          <w:rFonts w:cs="Times New Roman" w:asciiTheme="minorEastAsia" w:hAnsiTheme="minorEastAsia"/>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pStyle w:val="20"/>
        <w:rPr>
          <w:rFonts w:asciiTheme="minorEastAsia" w:hAnsiTheme="minorEastAsia" w:eastAsiaTheme="minorEastAsia"/>
          <w:b/>
          <w:sz w:val="28"/>
          <w:szCs w:val="28"/>
        </w:rPr>
      </w:pPr>
      <w:bookmarkStart w:id="96" w:name="_Toc5446"/>
      <w:bookmarkStart w:id="97" w:name="_Toc12743"/>
      <w:bookmarkStart w:id="98" w:name="_Toc12189"/>
      <w:bookmarkStart w:id="99" w:name="_Toc29863"/>
      <w:r>
        <w:rPr>
          <w:rFonts w:hint="eastAsia" w:asciiTheme="minorEastAsia" w:hAnsiTheme="minorEastAsia" w:eastAsiaTheme="minorEastAsia"/>
          <w:b/>
          <w:sz w:val="28"/>
          <w:szCs w:val="28"/>
        </w:rPr>
        <w:t>制定说明</w:t>
      </w:r>
      <w:bookmarkEnd w:id="96"/>
      <w:bookmarkEnd w:id="97"/>
      <w:bookmarkEnd w:id="98"/>
      <w:bookmarkEnd w:id="99"/>
    </w:p>
    <w:p>
      <w:pPr>
        <w:spacing w:line="400" w:lineRule="atLeast"/>
        <w:ind w:firstLine="480" w:firstLineChars="200"/>
        <w:rPr>
          <w:rFonts w:cs="Times New Roman" w:asciiTheme="minorEastAsia" w:hAnsiTheme="minorEastAsia"/>
          <w:bCs/>
          <w:sz w:val="24"/>
          <w:szCs w:val="24"/>
        </w:rPr>
      </w:pPr>
      <w:r>
        <w:rPr>
          <w:rFonts w:cs="Times New Roman" w:asciiTheme="minorEastAsia" w:hAnsiTheme="minorEastAsia"/>
          <w:sz w:val="24"/>
          <w:szCs w:val="24"/>
        </w:rPr>
        <w:t>《燃气运营企业安全管理标准第</w:t>
      </w:r>
      <w:r>
        <w:rPr>
          <w:rFonts w:ascii="Times New Roman" w:hAnsi="Times New Roman" w:cs="Times New Roman"/>
          <w:sz w:val="24"/>
          <w:szCs w:val="24"/>
        </w:rPr>
        <w:t>1</w:t>
      </w:r>
      <w:r>
        <w:rPr>
          <w:rFonts w:cs="Times New Roman" w:asciiTheme="minorEastAsia" w:hAnsiTheme="minorEastAsia"/>
          <w:sz w:val="24"/>
          <w:szCs w:val="24"/>
        </w:rPr>
        <w:t>部分：液化石油气运营企业》</w:t>
      </w:r>
      <w:r>
        <w:rPr>
          <w:rFonts w:ascii="Times New Roman" w:hAnsi="Times New Roman" w:cs="Times New Roman"/>
          <w:bCs/>
          <w:sz w:val="24"/>
          <w:szCs w:val="24"/>
        </w:rPr>
        <w:t>DB 53/T XXX-XXX</w:t>
      </w:r>
      <w:r>
        <w:rPr>
          <w:rFonts w:cs="Times New Roman" w:asciiTheme="minorEastAsia" w:hAnsiTheme="minorEastAsia"/>
          <w:bCs/>
          <w:sz w:val="24"/>
          <w:szCs w:val="24"/>
        </w:rPr>
        <w:t>经云南省住房和城乡建设厅</w:t>
      </w:r>
      <w:r>
        <w:rPr>
          <w:rFonts w:ascii="Times New Roman" w:hAnsi="Times New Roman" w:cs="Times New Roman"/>
          <w:bCs/>
          <w:sz w:val="24"/>
          <w:szCs w:val="24"/>
        </w:rPr>
        <w:t>xxx</w:t>
      </w:r>
      <w:r>
        <w:rPr>
          <w:rFonts w:cs="Times New Roman" w:asciiTheme="minorEastAsia" w:hAnsiTheme="minorEastAsia"/>
          <w:bCs/>
          <w:sz w:val="24"/>
          <w:szCs w:val="24"/>
        </w:rPr>
        <w:t>批准、发布。</w:t>
      </w:r>
    </w:p>
    <w:p>
      <w:pPr>
        <w:spacing w:line="400" w:lineRule="atLeas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为便于液化石油气运营企业管理人员在使用本标准时能正确理解和执行条文规定，</w:t>
      </w:r>
      <w:r>
        <w:rPr>
          <w:rFonts w:cs="Times New Roman" w:asciiTheme="minorEastAsia" w:hAnsiTheme="minorEastAsia"/>
          <w:sz w:val="24"/>
          <w:szCs w:val="24"/>
        </w:rPr>
        <w:t>《燃气运营企业安全管理标准第</w:t>
      </w:r>
      <w:r>
        <w:rPr>
          <w:rFonts w:ascii="Times New Roman" w:hAnsi="Times New Roman" w:cs="Times New Roman"/>
          <w:sz w:val="24"/>
          <w:szCs w:val="24"/>
        </w:rPr>
        <w:t>1</w:t>
      </w:r>
      <w:r>
        <w:rPr>
          <w:rFonts w:cs="Times New Roman" w:asciiTheme="minorEastAsia" w:hAnsiTheme="minorEastAsia"/>
          <w:sz w:val="24"/>
          <w:szCs w:val="24"/>
        </w:rPr>
        <w:t>部分：液化石油气运营企业》编制组按章、节、条顺序编制了本标准的条文说明，对条文规定的目的、依据以及执行中需要注意的有关事项进行了说明。但是，本条文说明不具备与标准正文同等的法律效力，仅供使用者作为理解和把握规程规定的参考。</w:t>
      </w:r>
    </w:p>
    <w:p>
      <w:pPr>
        <w:spacing w:line="400" w:lineRule="atLeast"/>
        <w:jc w:val="center"/>
        <w:rPr>
          <w:rFonts w:cs="Times New Roman" w:asciiTheme="minorEastAsia" w:hAnsiTheme="minorEastAsia"/>
          <w:sz w:val="24"/>
          <w:szCs w:val="24"/>
        </w:rPr>
      </w:pPr>
    </w:p>
    <w:p>
      <w:pPr>
        <w:pStyle w:val="18"/>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spacing w:line="400" w:lineRule="exact"/>
        <w:ind w:firstLine="1440" w:firstLineChars="400"/>
        <w:jc w:val="center"/>
        <w:rPr>
          <w:rFonts w:ascii="Times New Roman" w:hAnsi="Times New Roman" w:cs="Times New Roman"/>
          <w:bCs/>
          <w:sz w:val="36"/>
          <w:szCs w:val="36"/>
        </w:rPr>
      </w:pPr>
    </w:p>
    <w:p>
      <w:pPr>
        <w:jc w:val="center"/>
        <w:rPr>
          <w:rFonts w:ascii="黑体" w:hAnsi="黑体" w:eastAsia="黑体"/>
          <w:bCs/>
          <w:sz w:val="44"/>
          <w:szCs w:val="44"/>
        </w:rPr>
      </w:pPr>
      <w:r>
        <w:rPr>
          <w:rFonts w:hint="eastAsia" w:ascii="黑体" w:hAnsi="黑体" w:eastAsia="黑体"/>
          <w:bCs/>
          <w:sz w:val="44"/>
          <w:szCs w:val="44"/>
        </w:rPr>
        <w:t>目  次</w:t>
      </w:r>
    </w:p>
    <w:p>
      <w:pPr>
        <w:pStyle w:val="7"/>
        <w:tabs>
          <w:tab w:val="right" w:leader="dot" w:pos="8312"/>
        </w:tabs>
        <w:spacing w:line="400" w:lineRule="atLeast"/>
        <w:rPr>
          <w:rFonts w:asciiTheme="minorEastAsia" w:hAnsiTheme="minorEastAsia"/>
          <w:szCs w:val="21"/>
        </w:rPr>
      </w:pPr>
      <w:r>
        <w:rPr>
          <w:rFonts w:cs="Times New Roman" w:asciiTheme="minorEastAsia" w:hAnsiTheme="minorEastAsia"/>
          <w:szCs w:val="21"/>
        </w:rPr>
        <w:fldChar w:fldCharType="begin"/>
      </w:r>
      <w:r>
        <w:rPr>
          <w:rFonts w:cs="Times New Roman" w:asciiTheme="minorEastAsia" w:hAnsiTheme="minorEastAsia"/>
          <w:szCs w:val="21"/>
        </w:rPr>
        <w:instrText xml:space="preserve">TOC \o "1-2" \h \u </w:instrText>
      </w:r>
      <w:r>
        <w:rPr>
          <w:rFonts w:cs="Times New Roman" w:asciiTheme="minorEastAsia" w:hAnsiTheme="minorEastAsia"/>
          <w:szCs w:val="21"/>
        </w:rPr>
        <w:fldChar w:fldCharType="separate"/>
      </w:r>
      <w:r>
        <w:fldChar w:fldCharType="begin"/>
      </w:r>
      <w:r>
        <w:instrText xml:space="preserve"> HYPERLINK \l "_Toc8561" </w:instrText>
      </w:r>
      <w:r>
        <w:fldChar w:fldCharType="separate"/>
      </w:r>
      <w:r>
        <w:rPr>
          <w:rFonts w:hint="eastAsia" w:asciiTheme="minorEastAsia" w:hAnsiTheme="minorEastAsia"/>
          <w:szCs w:val="21"/>
        </w:rPr>
        <w:t>前言</w:t>
      </w:r>
      <w:r>
        <w:rPr>
          <w:rFonts w:asciiTheme="minorEastAsia" w:hAnsiTheme="minorEastAsia"/>
          <w:szCs w:val="21"/>
        </w:rPr>
        <w:tab/>
      </w:r>
      <w:r>
        <w:rPr>
          <w:rFonts w:asciiTheme="minorEastAsia" w:hAnsiTheme="minorEastAsia"/>
          <w:szCs w:val="21"/>
        </w:rPr>
        <w:t>Ⅲ</w:t>
      </w:r>
      <w:r>
        <w:rPr>
          <w:rFonts w:asciiTheme="minorEastAsia" w:hAnsiTheme="minorEastAsia"/>
          <w:szCs w:val="21"/>
        </w:rPr>
        <w:fldChar w:fldCharType="end"/>
      </w:r>
      <w:r>
        <w:rPr>
          <w:rFonts w:hint="eastAsia" w:asciiTheme="minorEastAsia" w:hAnsiTheme="minorEastAsia"/>
        </w:rPr>
        <w:t>、Ⅳ</w:t>
      </w:r>
    </w:p>
    <w:p>
      <w:pPr>
        <w:pStyle w:val="7"/>
        <w:tabs>
          <w:tab w:val="right" w:leader="dot" w:pos="8312"/>
        </w:tabs>
        <w:spacing w:line="400" w:lineRule="atLeast"/>
        <w:rPr>
          <w:rFonts w:asciiTheme="minorEastAsia" w:hAnsiTheme="minorEastAsia"/>
          <w:szCs w:val="21"/>
        </w:rPr>
      </w:pPr>
      <w:r>
        <w:fldChar w:fldCharType="begin"/>
      </w:r>
      <w:r>
        <w:instrText xml:space="preserve"> HYPERLINK \l "_Toc25139" </w:instrText>
      </w:r>
      <w:r>
        <w:fldChar w:fldCharType="separate"/>
      </w:r>
      <w:r>
        <w:rPr>
          <w:rFonts w:cs="Times New Roman" w:asciiTheme="minorEastAsia" w:hAnsiTheme="minorEastAsia"/>
          <w:szCs w:val="21"/>
        </w:rPr>
        <w:t>1  总则</w:t>
      </w:r>
      <w:r>
        <w:rPr>
          <w:rFonts w:asciiTheme="minorEastAsia" w:hAnsiTheme="minorEastAsia"/>
          <w:szCs w:val="21"/>
        </w:rPr>
        <w:tab/>
      </w:r>
      <w:r>
        <w:rPr>
          <w:rFonts w:hint="eastAsia" w:asciiTheme="minorEastAsia" w:hAnsiTheme="minorEastAsia"/>
          <w:szCs w:val="21"/>
        </w:rPr>
        <w:t>1</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"_Toc184" </w:instrText>
      </w:r>
      <w:r>
        <w:fldChar w:fldCharType="separate"/>
      </w:r>
      <w:r>
        <w:rPr>
          <w:rFonts w:hint="eastAsia" w:cs="Times New Roman" w:asciiTheme="minorEastAsia" w:hAnsiTheme="minorEastAsia"/>
          <w:szCs w:val="21"/>
        </w:rPr>
        <w:t>2  术语</w:t>
      </w:r>
      <w:r>
        <w:rPr>
          <w:rFonts w:asciiTheme="minorEastAsia" w:hAnsiTheme="minorEastAsia"/>
          <w:szCs w:val="21"/>
        </w:rPr>
        <w:tab/>
      </w:r>
      <w:r>
        <w:rPr>
          <w:rFonts w:hint="eastAsia" w:asciiTheme="minorEastAsia" w:hAnsiTheme="minorEastAsia"/>
          <w:szCs w:val="21"/>
        </w:rPr>
        <w:t>2</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"_Toc26008" </w:instrText>
      </w:r>
      <w:r>
        <w:fldChar w:fldCharType="separate"/>
      </w:r>
      <w:r>
        <w:rPr>
          <w:rFonts w:cs="Times New Roman" w:asciiTheme="minorEastAsia" w:hAnsiTheme="minorEastAsia"/>
          <w:szCs w:val="21"/>
        </w:rPr>
        <w:t>3  液化石油气运营企业安全管理</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"_Toc24131" </w:instrText>
      </w:r>
      <w:r>
        <w:fldChar w:fldCharType="separate"/>
      </w:r>
      <w:r>
        <w:rPr>
          <w:rFonts w:cs="Times New Roman" w:asciiTheme="minorEastAsia" w:hAnsiTheme="minorEastAsia"/>
          <w:szCs w:val="21"/>
        </w:rPr>
        <w:t>3.1 安全生产目标方针管理</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"_Toc19757" </w:instrText>
      </w:r>
      <w:r>
        <w:fldChar w:fldCharType="separate"/>
      </w:r>
      <w:r>
        <w:rPr>
          <w:rFonts w:cs="Times New Roman" w:asciiTheme="minorEastAsia" w:hAnsiTheme="minorEastAsia"/>
          <w:szCs w:val="21"/>
        </w:rPr>
        <w:t>3.2 安全生产管理机构</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"_Toc18333" </w:instrText>
      </w:r>
      <w:r>
        <w:fldChar w:fldCharType="separate"/>
      </w:r>
      <w:r>
        <w:rPr>
          <w:rFonts w:hint="eastAsia" w:cs="Times New Roman" w:asciiTheme="minorEastAsia" w:hAnsiTheme="minorEastAsia"/>
          <w:szCs w:val="21"/>
        </w:rPr>
        <w:t>3.3 人员配备要求</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"_Toc19701" </w:instrText>
      </w:r>
      <w:r>
        <w:fldChar w:fldCharType="separate"/>
      </w:r>
      <w:r>
        <w:rPr>
          <w:rFonts w:hint="eastAsia" w:cs="Times New Roman" w:asciiTheme="minorEastAsia" w:hAnsiTheme="minorEastAsia"/>
          <w:szCs w:val="21"/>
        </w:rPr>
        <w:t>3.4 安全生产职责</w:t>
      </w:r>
      <w:r>
        <w:rPr>
          <w:rFonts w:asciiTheme="minorEastAsia" w:hAnsiTheme="minorEastAsia"/>
          <w:szCs w:val="21"/>
        </w:rPr>
        <w:tab/>
      </w:r>
      <w:r>
        <w:rPr>
          <w:rFonts w:hint="eastAsia" w:asciiTheme="minorEastAsia" w:hAnsiTheme="minorEastAsia"/>
          <w:szCs w:val="21"/>
        </w:rPr>
        <w:t>3</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"_Toc16480" </w:instrText>
      </w:r>
      <w:r>
        <w:fldChar w:fldCharType="separate"/>
      </w:r>
      <w:r>
        <w:rPr>
          <w:rFonts w:hint="eastAsia" w:cs="Times New Roman" w:asciiTheme="minorEastAsia" w:hAnsiTheme="minorEastAsia"/>
          <w:szCs w:val="21"/>
        </w:rPr>
        <w:t>3.5 安全生产投入</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"_Toc30582" </w:instrText>
      </w:r>
      <w:r>
        <w:fldChar w:fldCharType="separate"/>
      </w:r>
      <w:r>
        <w:rPr>
          <w:rFonts w:hint="eastAsia" w:cs="Times New Roman" w:asciiTheme="minorEastAsia" w:hAnsiTheme="minorEastAsia"/>
          <w:szCs w:val="21"/>
        </w:rPr>
        <w:t>3.6 安全文化、标准化建设</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"_Toc2850" </w:instrText>
      </w:r>
      <w:r>
        <w:fldChar w:fldCharType="separate"/>
      </w:r>
      <w:r>
        <w:rPr>
          <w:rFonts w:hint="eastAsia" w:cs="Times New Roman" w:asciiTheme="minorEastAsia" w:hAnsiTheme="minorEastAsia"/>
          <w:szCs w:val="21"/>
        </w:rPr>
        <w:t>3.7 安全生产信息化建设</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"_Toc7815" </w:instrText>
      </w:r>
      <w:r>
        <w:fldChar w:fldCharType="separate"/>
      </w:r>
      <w:r>
        <w:rPr>
          <w:rFonts w:hint="eastAsia" w:cs="Times New Roman" w:asciiTheme="minorEastAsia" w:hAnsiTheme="minorEastAsia"/>
          <w:szCs w:val="21"/>
        </w:rPr>
        <w:t>3.8 安全管理制度和安全操作规程</w:t>
      </w:r>
      <w:r>
        <w:rPr>
          <w:rFonts w:asciiTheme="minorEastAsia" w:hAnsiTheme="minorEastAsia"/>
          <w:szCs w:val="21"/>
        </w:rPr>
        <w:tab/>
      </w:r>
      <w:r>
        <w:rPr>
          <w:rFonts w:hint="eastAsia" w:asciiTheme="minorEastAsia" w:hAnsiTheme="minorEastAsia"/>
          <w:szCs w:val="21"/>
        </w:rPr>
        <w:t>4</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"_Toc19849" </w:instrText>
      </w:r>
      <w:r>
        <w:fldChar w:fldCharType="separate"/>
      </w:r>
      <w:r>
        <w:rPr>
          <w:rFonts w:hint="eastAsia" w:cs="Times New Roman" w:asciiTheme="minorEastAsia" w:hAnsiTheme="minorEastAsia"/>
          <w:szCs w:val="21"/>
        </w:rPr>
        <w:t>3.9 安全教育培训</w:t>
      </w:r>
      <w:r>
        <w:rPr>
          <w:rFonts w:asciiTheme="minorEastAsia" w:hAnsiTheme="minorEastAsia"/>
          <w:szCs w:val="21"/>
        </w:rPr>
        <w:tab/>
      </w:r>
      <w:r>
        <w:rPr>
          <w:rFonts w:hint="eastAsia" w:asciiTheme="minorEastAsia" w:hAnsiTheme="minorEastAsia"/>
          <w:szCs w:val="21"/>
        </w:rPr>
        <w:t>5</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"_Toc18336" </w:instrText>
      </w:r>
      <w:r>
        <w:fldChar w:fldCharType="separate"/>
      </w:r>
      <w:r>
        <w:rPr>
          <w:rFonts w:hint="eastAsia" w:cs="Times New Roman" w:asciiTheme="minorEastAsia" w:hAnsiTheme="minorEastAsia"/>
          <w:szCs w:val="21"/>
        </w:rPr>
        <w:t>3.10 抢险与事故管理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"_Toc15349" </w:instrText>
      </w:r>
      <w:r>
        <w:fldChar w:fldCharType="separate"/>
      </w:r>
      <w:r>
        <w:rPr>
          <w:rFonts w:hint="eastAsia" w:cs="Times New Roman" w:asciiTheme="minorEastAsia" w:hAnsiTheme="minorEastAsia"/>
          <w:szCs w:val="21"/>
        </w:rPr>
        <w:t>3.11</w:t>
      </w:r>
      <w:r>
        <w:rPr>
          <w:rFonts w:cs="Times New Roman" w:asciiTheme="minorEastAsia" w:hAnsiTheme="minorEastAsia"/>
          <w:szCs w:val="21"/>
        </w:rPr>
        <w:t>安全检查</w:t>
      </w:r>
      <w:r>
        <w:rPr>
          <w:rFonts w:hint="eastAsia" w:cs="Times New Roman" w:asciiTheme="minorEastAsia" w:hAnsiTheme="minorEastAsia"/>
          <w:szCs w:val="21"/>
        </w:rPr>
        <w:t>与</w:t>
      </w:r>
      <w:r>
        <w:rPr>
          <w:rFonts w:cs="Times New Roman" w:asciiTheme="minorEastAsia" w:hAnsiTheme="minorEastAsia"/>
          <w:szCs w:val="21"/>
        </w:rPr>
        <w:t>隐患整改</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"_Toc3932" </w:instrText>
      </w:r>
      <w:r>
        <w:fldChar w:fldCharType="separate"/>
      </w:r>
      <w:r>
        <w:rPr>
          <w:rFonts w:hint="eastAsia" w:cs="Times New Roman" w:asciiTheme="minorEastAsia" w:hAnsiTheme="minorEastAsia"/>
          <w:szCs w:val="21"/>
        </w:rPr>
        <w:t xml:space="preserve">4 </w:t>
      </w:r>
      <w:r>
        <w:rPr>
          <w:rFonts w:cs="Times New Roman" w:asciiTheme="minorEastAsia" w:hAnsiTheme="minorEastAsia"/>
          <w:szCs w:val="21"/>
        </w:rPr>
        <w:t>液化石油气储配站</w:t>
      </w:r>
      <w:r>
        <w:rPr>
          <w:rFonts w:hint="eastAsia" w:cs="Times New Roman" w:asciiTheme="minorEastAsia" w:hAnsiTheme="minorEastAsia"/>
          <w:szCs w:val="21"/>
        </w:rPr>
        <w:t>安全</w:t>
      </w:r>
      <w:r>
        <w:rPr>
          <w:rFonts w:cs="Times New Roman" w:asciiTheme="minorEastAsia" w:hAnsiTheme="minorEastAsia"/>
          <w:szCs w:val="21"/>
        </w:rPr>
        <w:t>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"_Toc15202" </w:instrText>
      </w:r>
      <w:r>
        <w:fldChar w:fldCharType="separate"/>
      </w:r>
      <w:r>
        <w:rPr>
          <w:rFonts w:hint="eastAsia" w:cs="Times New Roman" w:asciiTheme="minorEastAsia" w:hAnsiTheme="minorEastAsia"/>
          <w:bCs/>
          <w:szCs w:val="21"/>
        </w:rPr>
        <w:t>4.1 安全生产基础管理</w:t>
      </w:r>
      <w:r>
        <w:rPr>
          <w:rFonts w:asciiTheme="minorEastAsia" w:hAnsiTheme="minorEastAsia"/>
          <w:szCs w:val="21"/>
        </w:rPr>
        <w:tab/>
      </w:r>
      <w:r>
        <w:rPr>
          <w:rFonts w:hint="eastAsia" w:asciiTheme="minorEastAsia" w:hAnsiTheme="minorEastAsia"/>
          <w:szCs w:val="21"/>
        </w:rPr>
        <w:t>6</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"_Toc24145" </w:instrText>
      </w:r>
      <w:r>
        <w:fldChar w:fldCharType="separate"/>
      </w:r>
      <w:r>
        <w:rPr>
          <w:rFonts w:hint="eastAsia" w:cs="Times New Roman" w:asciiTheme="minorEastAsia" w:hAnsiTheme="minorEastAsia"/>
          <w:bCs/>
          <w:szCs w:val="21"/>
        </w:rPr>
        <w:t>4.2 现场安全管理</w:t>
      </w:r>
      <w:r>
        <w:rPr>
          <w:rFonts w:asciiTheme="minorEastAsia" w:hAnsiTheme="minorEastAsia"/>
          <w:szCs w:val="21"/>
        </w:rPr>
        <w:tab/>
      </w:r>
      <w:r>
        <w:rPr>
          <w:rFonts w:hint="eastAsia" w:asciiTheme="minorEastAsia" w:hAnsiTheme="minorEastAsia"/>
          <w:szCs w:val="21"/>
        </w:rPr>
        <w:t>7</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"_Toc29554" </w:instrText>
      </w:r>
      <w:r>
        <w:fldChar w:fldCharType="separate"/>
      </w:r>
      <w:r>
        <w:rPr>
          <w:rFonts w:hint="eastAsia" w:cs="Times New Roman" w:asciiTheme="minorEastAsia" w:hAnsiTheme="minorEastAsia"/>
          <w:bCs/>
          <w:szCs w:val="21"/>
        </w:rPr>
        <w:t>5 液化石油气瓶装供应安全管理</w:t>
      </w:r>
      <w:r>
        <w:rPr>
          <w:rFonts w:asciiTheme="minorEastAsia" w:hAnsiTheme="minorEastAsia"/>
          <w:szCs w:val="21"/>
        </w:rPr>
        <w:tab/>
      </w:r>
      <w:r>
        <w:rPr>
          <w:rFonts w:hint="eastAsia" w:asciiTheme="minorEastAsia" w:hAnsiTheme="minorEastAsia"/>
          <w:szCs w:val="21"/>
        </w:rPr>
        <w:t>7</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"_Toc8560" </w:instrText>
      </w:r>
      <w:r>
        <w:fldChar w:fldCharType="separate"/>
      </w:r>
      <w:r>
        <w:rPr>
          <w:rFonts w:hint="eastAsia" w:cs="Times New Roman" w:asciiTheme="minorEastAsia" w:hAnsiTheme="minorEastAsia"/>
          <w:szCs w:val="21"/>
        </w:rPr>
        <w:t>5.1 一级供应站、二级供应站、三级供应站以及便民服务部安全管理</w:t>
      </w:r>
      <w:r>
        <w:rPr>
          <w:rFonts w:asciiTheme="minorEastAsia" w:hAnsiTheme="minorEastAsia"/>
          <w:szCs w:val="21"/>
        </w:rPr>
        <w:tab/>
      </w:r>
      <w:r>
        <w:rPr>
          <w:rFonts w:hint="eastAsia" w:asciiTheme="minorEastAsia" w:hAnsiTheme="minorEastAsia"/>
          <w:szCs w:val="21"/>
        </w:rPr>
        <w:t>8</w:t>
      </w:r>
      <w:r>
        <w:rPr>
          <w:rFonts w:hint="eastAsia" w:asciiTheme="minorEastAsia" w:hAnsiTheme="minorEastAsia"/>
          <w:szCs w:val="21"/>
        </w:rPr>
        <w:fldChar w:fldCharType="end"/>
      </w:r>
    </w:p>
    <w:p>
      <w:pPr>
        <w:pStyle w:val="8"/>
        <w:tabs>
          <w:tab w:val="right" w:leader="dot" w:pos="8312"/>
        </w:tabs>
        <w:spacing w:line="400" w:lineRule="atLeast"/>
        <w:rPr>
          <w:rFonts w:asciiTheme="minorEastAsia" w:hAnsiTheme="minorEastAsia"/>
          <w:szCs w:val="21"/>
        </w:rPr>
      </w:pPr>
      <w:r>
        <w:fldChar w:fldCharType="begin"/>
      </w:r>
      <w:r>
        <w:instrText xml:space="preserve"> HYPERLINK \l "_Toc22983" </w:instrText>
      </w:r>
      <w:r>
        <w:fldChar w:fldCharType="separate"/>
      </w:r>
      <w:r>
        <w:rPr>
          <w:rFonts w:hint="eastAsia" w:cs="Times New Roman" w:asciiTheme="minorEastAsia" w:hAnsiTheme="minorEastAsia"/>
          <w:bCs/>
          <w:szCs w:val="21"/>
        </w:rPr>
        <w:t>5.2 液化石油气瓶组用户安全管理</w:t>
      </w:r>
      <w:r>
        <w:rPr>
          <w:rFonts w:asciiTheme="minorEastAsia" w:hAnsiTheme="minorEastAsia"/>
          <w:szCs w:val="21"/>
        </w:rPr>
        <w:tab/>
      </w:r>
      <w:r>
        <w:rPr>
          <w:rFonts w:hint="eastAsia" w:asciiTheme="minorEastAsia" w:hAnsiTheme="minorEastAsia"/>
          <w:szCs w:val="21"/>
        </w:rPr>
        <w:t>8</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szCs w:val="21"/>
        </w:rPr>
      </w:pPr>
      <w:r>
        <w:fldChar w:fldCharType="begin"/>
      </w:r>
      <w:r>
        <w:instrText xml:space="preserve"> HYPERLINK \l "_Toc2687" </w:instrText>
      </w:r>
      <w:r>
        <w:fldChar w:fldCharType="separate"/>
      </w:r>
      <w:r>
        <w:rPr>
          <w:rFonts w:hint="eastAsia" w:cs="Times New Roman" w:asciiTheme="minorEastAsia" w:hAnsiTheme="minorEastAsia"/>
          <w:bCs/>
          <w:szCs w:val="21"/>
        </w:rPr>
        <w:t>附录A 政府燃气管理部门开展安全监督检查内容</w:t>
      </w:r>
      <w:r>
        <w:rPr>
          <w:rFonts w:asciiTheme="minorEastAsia" w:hAnsiTheme="minorEastAsia"/>
          <w:szCs w:val="21"/>
        </w:rPr>
        <w:tab/>
      </w:r>
      <w:r>
        <w:rPr>
          <w:rFonts w:hint="eastAsia" w:asciiTheme="minorEastAsia" w:hAnsiTheme="minorEastAsia"/>
          <w:szCs w:val="21"/>
        </w:rPr>
        <w:t>9</w:t>
      </w:r>
      <w:r>
        <w:rPr>
          <w:rFonts w:hint="eastAsia" w:asciiTheme="minorEastAsia" w:hAnsiTheme="minorEastAsia"/>
          <w:szCs w:val="21"/>
        </w:rPr>
        <w:fldChar w:fldCharType="end"/>
      </w:r>
    </w:p>
    <w:p>
      <w:pPr>
        <w:pStyle w:val="7"/>
        <w:tabs>
          <w:tab w:val="right" w:leader="dot" w:pos="8312"/>
        </w:tabs>
        <w:spacing w:line="400" w:lineRule="atLeast"/>
        <w:rPr>
          <w:rFonts w:asciiTheme="minorEastAsia" w:hAnsiTheme="minorEastAsia"/>
        </w:rPr>
      </w:pPr>
      <w:r>
        <w:fldChar w:fldCharType="begin"/>
      </w:r>
      <w:r>
        <w:instrText xml:space="preserve"> HYPERLINK \l "_Toc18699" </w:instrText>
      </w:r>
      <w:r>
        <w:fldChar w:fldCharType="separate"/>
      </w:r>
      <w:r>
        <w:rPr>
          <w:rFonts w:hint="eastAsia" w:cs="Times New Roman" w:asciiTheme="minorEastAsia" w:hAnsiTheme="minorEastAsia"/>
          <w:bCs/>
          <w:szCs w:val="21"/>
        </w:rPr>
        <w:t>附录B 企业开展安全监督检查内容</w:t>
      </w:r>
      <w:r>
        <w:rPr>
          <w:rFonts w:asciiTheme="minorEastAsia" w:hAnsiTheme="minorEastAsia"/>
          <w:szCs w:val="21"/>
        </w:rPr>
        <w:tab/>
      </w:r>
      <w:r>
        <w:rPr>
          <w:rFonts w:hint="eastAsia" w:asciiTheme="minorEastAsia" w:hAnsiTheme="minorEastAsia"/>
          <w:szCs w:val="21"/>
        </w:rPr>
        <w:t>16</w:t>
      </w:r>
      <w:r>
        <w:rPr>
          <w:rFonts w:hint="eastAsia" w:asciiTheme="minorEastAsia" w:hAnsiTheme="minorEastAsia"/>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25</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szCs w:val="21"/>
        </w:rPr>
        <w:fldChar w:fldCharType="end"/>
      </w: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26</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27</w:t>
      </w:r>
      <w:r>
        <w:rPr>
          <w:rFonts w:hint="eastAsia" w:asciiTheme="minorEastAsia" w:hAnsiTheme="minorEastAsia" w:eastAsiaTheme="minorEastAsia"/>
          <w:bCs/>
          <w:sz w:val="21"/>
          <w:szCs w:val="21"/>
        </w:rPr>
        <w:fldChar w:fldCharType="end"/>
      </w:r>
    </w:p>
    <w:p>
      <w:pPr>
        <w:spacing w:line="400" w:lineRule="atLeast"/>
        <w:rPr>
          <w:rFonts w:cs="Times New Roman" w:asciiTheme="minorEastAsia" w:hAnsiTheme="minorEastAsia"/>
          <w:b/>
          <w:szCs w:val="21"/>
        </w:rPr>
      </w:pPr>
    </w:p>
    <w:p>
      <w:pPr>
        <w:spacing w:line="400" w:lineRule="atLeast"/>
        <w:jc w:val="center"/>
        <w:rPr>
          <w:rFonts w:cs="Times New Roman" w:asciiTheme="minorEastAsia" w:hAnsiTheme="minorEastAsia"/>
          <w:b/>
          <w:szCs w:val="21"/>
        </w:rPr>
      </w:pPr>
    </w:p>
    <w:p>
      <w:pPr>
        <w:jc w:val="center"/>
        <w:rPr>
          <w:rFonts w:cs="Times New Roman" w:asciiTheme="minorEastAsia" w:hAnsiTheme="minorEastAsia"/>
          <w:b/>
          <w:sz w:val="28"/>
          <w:szCs w:val="28"/>
        </w:rPr>
      </w:pPr>
    </w:p>
    <w:p>
      <w:pPr>
        <w:jc w:val="center"/>
        <w:rPr>
          <w:rFonts w:cs="Times New Roman" w:asciiTheme="minorEastAsia" w:hAnsiTheme="minorEastAsia"/>
          <w:b/>
          <w:sz w:val="28"/>
          <w:szCs w:val="28"/>
        </w:rPr>
      </w:pPr>
    </w:p>
    <w:p>
      <w:pPr>
        <w:jc w:val="center"/>
        <w:rPr>
          <w:rFonts w:cs="Times New Roman" w:asciiTheme="minorEastAsia" w:hAnsiTheme="minorEastAsia"/>
          <w:b/>
          <w:sz w:val="28"/>
          <w:szCs w:val="28"/>
        </w:rPr>
      </w:pPr>
    </w:p>
    <w:p>
      <w:pPr>
        <w:jc w:val="center"/>
        <w:rPr>
          <w:rFonts w:cs="Times New Roman" w:asciiTheme="minorEastAsia" w:hAnsiTheme="minorEastAsia"/>
          <w:b/>
          <w:sz w:val="28"/>
          <w:szCs w:val="28"/>
        </w:rPr>
      </w:pPr>
      <w:r>
        <w:rPr>
          <w:rFonts w:cs="Times New Roman" w:asciiTheme="minorEastAsia" w:hAnsiTheme="minorEastAsia"/>
          <w:b/>
          <w:sz w:val="28"/>
          <w:szCs w:val="28"/>
        </w:rPr>
        <w:t>1  总则</w:t>
      </w:r>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1.0.1液化石油气运营企业运营过程中的各个安全管理环节和因素，都会对运营情况、结果产生巨大影响。近年来，我国燃气事业发展虽然总体向好，但各种类型的燃气事故仍然时有发生。为了规范</w:t>
      </w:r>
      <w:r>
        <w:rPr>
          <w:rFonts w:cs="Times New Roman" w:asciiTheme="minorEastAsia" w:hAnsiTheme="minorEastAsia"/>
          <w:sz w:val="24"/>
          <w:szCs w:val="24"/>
        </w:rPr>
        <w:t>液化石油气运营企业的</w:t>
      </w:r>
      <w:r>
        <w:rPr>
          <w:rFonts w:hint="eastAsia" w:asciiTheme="minorEastAsia" w:hAnsiTheme="minorEastAsia"/>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Theme="minorEastAsia" w:hAnsiTheme="minorEastAsia"/>
          <w:sz w:val="24"/>
          <w:szCs w:val="24"/>
        </w:rPr>
      </w:pPr>
      <w:r>
        <w:rPr>
          <w:rFonts w:cs="Times New Roman" w:asciiTheme="minorEastAsia" w:hAnsiTheme="minorEastAsia"/>
          <w:sz w:val="24"/>
          <w:szCs w:val="24"/>
        </w:rPr>
        <w:t>1.0.2</w:t>
      </w:r>
      <w:r>
        <w:rPr>
          <w:rFonts w:hint="eastAsia" w:cs="Times New Roman" w:asciiTheme="minorEastAsia" w:hAnsiTheme="minorEastAsia"/>
          <w:sz w:val="24"/>
          <w:szCs w:val="24"/>
        </w:rPr>
        <w:t>本条规定了</w:t>
      </w:r>
      <w:r>
        <w:rPr>
          <w:rFonts w:hint="eastAsia" w:asciiTheme="minorEastAsia" w:hAnsiTheme="minorEastAsia"/>
          <w:sz w:val="24"/>
          <w:szCs w:val="24"/>
        </w:rPr>
        <w:t>本标准的适用范围：适用于云南省范围内的液化石油气运营企业。</w:t>
      </w:r>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1.0.3本条强调的是</w:t>
      </w:r>
      <w:r>
        <w:rPr>
          <w:rFonts w:cs="Times New Roman" w:asciiTheme="minorEastAsia" w:hAnsiTheme="minorEastAsia"/>
          <w:sz w:val="24"/>
          <w:szCs w:val="24"/>
        </w:rPr>
        <w:t>液化石油气运营企业的</w:t>
      </w:r>
      <w:r>
        <w:rPr>
          <w:rFonts w:hint="eastAsia" w:asciiTheme="minorEastAsia" w:hAnsiTheme="minorEastAsia"/>
          <w:sz w:val="24"/>
          <w:szCs w:val="24"/>
        </w:rPr>
        <w:t>工作原则、过程和管理要求，除应符合本标准的规定外，尚应符合国家现行有关标准的规定。</w:t>
      </w:r>
    </w:p>
    <w:p>
      <w:pPr>
        <w:spacing w:line="400" w:lineRule="atLeast"/>
        <w:jc w:val="center"/>
        <w:outlineLvl w:val="0"/>
        <w:rPr>
          <w:rFonts w:cs="宋体" w:asciiTheme="minorEastAsia" w:hAnsiTheme="minorEastAsia"/>
          <w:b/>
          <w:sz w:val="24"/>
          <w:szCs w:val="24"/>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r>
        <w:rPr>
          <w:rFonts w:hint="eastAsia" w:ascii="宋体" w:hAnsi="宋体" w:eastAsia="宋体" w:cs="宋体"/>
          <w:b/>
          <w:sz w:val="28"/>
          <w:szCs w:val="28"/>
        </w:rPr>
        <w:t>3  液化石油气运营企业安全管理</w:t>
      </w:r>
    </w:p>
    <w:p>
      <w:pPr>
        <w:spacing w:line="400" w:lineRule="exact"/>
        <w:jc w:val="center"/>
        <w:outlineLvl w:val="1"/>
        <w:rPr>
          <w:rFonts w:cs="Times New Roman" w:asciiTheme="minorEastAsia" w:hAnsiTheme="minorEastAsia"/>
          <w:b/>
          <w:sz w:val="24"/>
          <w:szCs w:val="24"/>
        </w:rPr>
      </w:pPr>
      <w:r>
        <w:rPr>
          <w:rFonts w:cs="Times New Roman" w:asciiTheme="minorEastAsia" w:hAnsiTheme="minorEastAsia"/>
          <w:b/>
          <w:sz w:val="24"/>
          <w:szCs w:val="24"/>
        </w:rPr>
        <w:t>3.1 安全生产目标方针管理</w:t>
      </w:r>
    </w:p>
    <w:p>
      <w:pPr>
        <w:spacing w:line="400" w:lineRule="atLeast"/>
        <w:rPr>
          <w:rFonts w:cs="Times New Roman" w:asciiTheme="minorEastAsia" w:hAnsiTheme="minorEastAsia"/>
          <w:b/>
          <w:sz w:val="24"/>
          <w:szCs w:val="24"/>
        </w:rPr>
      </w:pPr>
      <w:r>
        <w:rPr>
          <w:rFonts w:hint="eastAsia" w:cs="Times New Roman" w:asciiTheme="minorEastAsia" w:hAnsiTheme="minorEastAsia"/>
          <w:sz w:val="24"/>
          <w:szCs w:val="24"/>
        </w:rPr>
        <w:t>3.1.1 本条规定</w:t>
      </w:r>
      <w:r>
        <w:rPr>
          <w:rFonts w:cs="Times New Roman" w:asciiTheme="minorEastAsia" w:hAnsiTheme="minorEastAsia"/>
          <w:sz w:val="24"/>
          <w:szCs w:val="24"/>
        </w:rPr>
        <w:t>企业应坚持国家</w:t>
      </w:r>
      <w:r>
        <w:rPr>
          <w:rFonts w:hint="eastAsia" w:cs="Times New Roman" w:asciiTheme="minorEastAsia" w:hAnsiTheme="minorEastAsia"/>
          <w:sz w:val="24"/>
          <w:szCs w:val="24"/>
        </w:rPr>
        <w:t>“</w:t>
      </w:r>
      <w:r>
        <w:rPr>
          <w:rFonts w:cs="Times New Roman" w:asciiTheme="minorEastAsia" w:hAnsiTheme="minorEastAsia"/>
          <w:sz w:val="24"/>
          <w:szCs w:val="24"/>
        </w:rPr>
        <w:t>安全第一，预防为主，综合治理</w:t>
      </w:r>
      <w:r>
        <w:rPr>
          <w:rFonts w:hint="eastAsia" w:cs="Times New Roman" w:asciiTheme="minorEastAsia" w:hAnsiTheme="minorEastAsia"/>
          <w:sz w:val="24"/>
          <w:szCs w:val="24"/>
        </w:rPr>
        <w:t>”</w:t>
      </w:r>
      <w:r>
        <w:rPr>
          <w:rFonts w:cs="Times New Roman" w:asciiTheme="minorEastAsia" w:hAnsiTheme="minorEastAsia"/>
          <w:sz w:val="24"/>
          <w:szCs w:val="24"/>
        </w:rPr>
        <w:t>的安全生产方针。主要负责人应依据国家法律法规，结合企业实际，组织制定制度化的企业安全生产方针、政策。</w:t>
      </w:r>
      <w:r>
        <w:rPr>
          <w:rFonts w:hint="eastAsia" w:cs="Times New Roman" w:asciiTheme="minorEastAsia" w:hAnsiTheme="minorEastAsia"/>
          <w:sz w:val="24"/>
          <w:szCs w:val="24"/>
        </w:rPr>
        <w:t>是根据国家安全生产法作出的规定。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本条对企业的年度目标与计划作出了规定</w:t>
      </w:r>
      <w:r>
        <w:rPr>
          <w:rFonts w:cs="Times New Roman" w:asciiTheme="minorEastAsia" w:hAnsiTheme="minorEastAsia"/>
          <w:sz w:val="24"/>
          <w:szCs w:val="24"/>
        </w:rPr>
        <w:t>。</w:t>
      </w:r>
    </w:p>
    <w:p>
      <w:pPr>
        <w:spacing w:line="400" w:lineRule="exact"/>
        <w:jc w:val="center"/>
        <w:outlineLvl w:val="1"/>
        <w:rPr>
          <w:rFonts w:cs="Times New Roman" w:asciiTheme="minorEastAsia" w:hAnsiTheme="minorEastAsia"/>
          <w:b/>
          <w:sz w:val="24"/>
          <w:szCs w:val="24"/>
        </w:rPr>
      </w:pPr>
      <w:r>
        <w:rPr>
          <w:rFonts w:cs="Times New Roman" w:asciiTheme="minorEastAsia" w:hAnsiTheme="minorEastAsia"/>
          <w:b/>
          <w:sz w:val="24"/>
          <w:szCs w:val="24"/>
        </w:rPr>
        <w:t>3.2 安全生产管理机构</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2.1本条对企业的经营活动作出了规定</w:t>
      </w:r>
      <w:r>
        <w:rPr>
          <w:rFonts w:cs="Times New Roman" w:asciiTheme="majorEastAsia" w:hAnsiTheme="majorEastAsia" w:eastAsiaTheme="majorEastAsia"/>
          <w:sz w:val="24"/>
          <w:szCs w:val="24"/>
        </w:rPr>
        <w:t>。</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3.2.2 本条对企业的安全管理机构设置及人员配备作出了规定。</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3.2.3 本条对企业的安全生产管理网络作出了规定。</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3.2.4本条对企业的安全生产例会制度、会议纪要进行了规定。</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3.2.5 本条对企业的安全资料的保存进行了规定。</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3.3 人员配备要求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3.3.1 本条对企业关键岗位人员的要求进行了规定。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3.3.2 本条对于企业的人员配备进行了规定。</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3.4 安全生产职责</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3.4.1本条对企业安全职责、安全责任书的签订进行了规定。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3.4.2 本条对企业安全生产责任制作出了要求</w:t>
      </w:r>
      <w:r>
        <w:rPr>
          <w:rFonts w:cs="Times New Roman" w:asciiTheme="minorEastAsia" w:hAnsiTheme="minorEastAsia"/>
          <w:sz w:val="24"/>
          <w:szCs w:val="24"/>
        </w:rPr>
        <w:t>。</w:t>
      </w:r>
      <w:r>
        <w:rPr>
          <w:rFonts w:cs="Times New Roman" w:asciiTheme="minorEastAsia" w:hAnsiTheme="minorEastAsia"/>
          <w:sz w:val="24"/>
          <w:szCs w:val="24"/>
        </w:rPr>
        <w:cr/>
      </w:r>
      <w:r>
        <w:rPr>
          <w:rFonts w:hint="eastAsia" w:cs="Times New Roman" w:asciiTheme="minorEastAsia" w:hAnsiTheme="minorEastAsia"/>
          <w:sz w:val="24"/>
          <w:szCs w:val="24"/>
        </w:rPr>
        <w:t>3.4.3本条对企业安全生产责任制的考核进行了规定</w:t>
      </w:r>
      <w:r>
        <w:rPr>
          <w:rFonts w:cs="Times New Roman" w:asciiTheme="minorEastAsia" w:hAnsiTheme="minorEastAsia"/>
          <w:sz w:val="24"/>
          <w:szCs w:val="24"/>
        </w:rPr>
        <w:t>。</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3.5 安全生产投入</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3.5.1本条对于企业安全生产费用进行了规定，明确安全生产费用，专项用于安全生产。</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3.5.2本条对于企业安全生产费用科目的建立、费用使用计划进行了规定，并要求进行监督管理。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3.5.3本条对企业购买工伤保险进行了规定。</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3.6 安全文化、标准化建设</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3.6.1 本条对企业开展安全文化建设进行了规定，因</w:t>
      </w:r>
      <w:r>
        <w:rPr>
          <w:rFonts w:ascii="Times New Roman" w:hAnsi="Times New Roman" w:cs="Times New Roman"/>
          <w:sz w:val="24"/>
          <w:szCs w:val="24"/>
        </w:rPr>
        <w:t>AQ/T 9004</w:t>
      </w:r>
      <w:r>
        <w:rPr>
          <w:rFonts w:hint="eastAsia" w:cs="Times New Roman" w:asciiTheme="minorEastAsia" w:hAnsiTheme="minorEastAsia"/>
          <w:sz w:val="24"/>
          <w:szCs w:val="24"/>
        </w:rPr>
        <w:t>中均有详细规定和要求，故未一一列出。</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3.6.2 本条对企业开展安全标准化建设进行了规定，在</w:t>
      </w:r>
      <w:r>
        <w:rPr>
          <w:rFonts w:ascii="Times New Roman" w:hAnsi="Times New Roman" w:cs="Times New Roman"/>
          <w:sz w:val="24"/>
          <w:szCs w:val="24"/>
        </w:rPr>
        <w:t>GB/T 33000</w:t>
      </w:r>
      <w:r>
        <w:rPr>
          <w:rFonts w:hint="eastAsia" w:cs="Times New Roman" w:asciiTheme="minorEastAsia" w:hAnsiTheme="minorEastAsia"/>
          <w:sz w:val="24"/>
          <w:szCs w:val="24"/>
        </w:rPr>
        <w:t>中均有详细规定和要求。</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3.7 安全生产信息化建设</w:t>
      </w:r>
    </w:p>
    <w:p>
      <w:pPr>
        <w:spacing w:line="400" w:lineRule="atLeast"/>
        <w:rPr>
          <w:rFonts w:ascii="Times New Roman" w:hAnsi="Times New Roman" w:cs="Times New Roman"/>
          <w:sz w:val="24"/>
          <w:szCs w:val="24"/>
        </w:rPr>
      </w:pPr>
      <w:r>
        <w:rPr>
          <w:rFonts w:hint="eastAsia" w:ascii="Times New Roman" w:hAnsi="Times New Roman" w:cs="Times New Roman"/>
          <w:sz w:val="24"/>
          <w:szCs w:val="24"/>
        </w:rPr>
        <w:t>本条对企业安全生产信息化建设进行了规定：企业应根据自身情况，利用信息化手段加强安全生产管理工作。</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3.8 安全管理制度和安全操作规程</w:t>
      </w:r>
    </w:p>
    <w:p>
      <w:pPr>
        <w:spacing w:line="400" w:lineRule="atLeast"/>
        <w:ind w:left="120" w:hanging="120" w:hangingChars="50"/>
        <w:rPr>
          <w:rFonts w:ascii="Times New Roman" w:cs="Times New Roman" w:hAnsiTheme="minorEastAsia"/>
          <w:sz w:val="24"/>
          <w:szCs w:val="24"/>
        </w:rPr>
      </w:pPr>
      <w:r>
        <w:rPr>
          <w:rFonts w:hint="eastAsia" w:ascii="Times New Roman" w:hAnsi="Times New Roman" w:cs="Times New Roman"/>
          <w:bCs/>
          <w:sz w:val="24"/>
          <w:szCs w:val="24"/>
        </w:rPr>
        <w:t>本章节内容是对企业的安全管理制度和安全操作规程进行了规定（国家相关法律法规中均有明确详细的规定）。包括</w:t>
      </w:r>
      <w:r>
        <w:rPr>
          <w:rFonts w:ascii="Times New Roman" w:cs="Times New Roman" w:hAnsiTheme="minorEastAsia"/>
          <w:sz w:val="24"/>
          <w:szCs w:val="24"/>
        </w:rPr>
        <w:t>建立健全安全生产规章制度</w:t>
      </w:r>
      <w:r>
        <w:rPr>
          <w:rFonts w:hint="eastAsia" w:ascii="Times New Roman" w:cs="Times New Roman" w:hAnsiTheme="minorEastAsia"/>
          <w:sz w:val="24"/>
          <w:szCs w:val="24"/>
        </w:rPr>
        <w:t>、</w:t>
      </w:r>
      <w:r>
        <w:rPr>
          <w:rFonts w:ascii="Times New Roman" w:cs="Times New Roman" w:hAnsiTheme="minorEastAsia"/>
          <w:sz w:val="24"/>
          <w:szCs w:val="24"/>
        </w:rPr>
        <w:t>编制作业操作规程</w:t>
      </w:r>
      <w:r>
        <w:rPr>
          <w:rFonts w:hint="eastAsia" w:ascii="Times New Roman" w:cs="Times New Roman" w:hAnsiTheme="minorEastAsia"/>
          <w:sz w:val="24"/>
          <w:szCs w:val="24"/>
        </w:rPr>
        <w:t>、以及对</w:t>
      </w:r>
      <w:r>
        <w:rPr>
          <w:rFonts w:ascii="Times New Roman" w:cs="Times New Roman" w:hAnsiTheme="minorEastAsia"/>
          <w:sz w:val="24"/>
          <w:szCs w:val="24"/>
        </w:rPr>
        <w:t>员工</w:t>
      </w:r>
      <w:r>
        <w:rPr>
          <w:rFonts w:hint="eastAsia" w:ascii="Times New Roman" w:cs="Times New Roman" w:hAnsiTheme="minorEastAsia"/>
          <w:sz w:val="24"/>
          <w:szCs w:val="24"/>
        </w:rPr>
        <w:t>的</w:t>
      </w:r>
      <w:r>
        <w:rPr>
          <w:rFonts w:ascii="Times New Roman" w:cs="Times New Roman" w:hAnsiTheme="minorEastAsia"/>
          <w:sz w:val="24"/>
          <w:szCs w:val="24"/>
        </w:rPr>
        <w:t>宣贯培训</w:t>
      </w:r>
      <w:r>
        <w:rPr>
          <w:rFonts w:hint="eastAsia" w:ascii="Times New Roman" w:cs="Times New Roman" w:hAnsiTheme="minorEastAsia"/>
          <w:sz w:val="24"/>
          <w:szCs w:val="24"/>
        </w:rPr>
        <w:t>、</w:t>
      </w:r>
      <w:r>
        <w:rPr>
          <w:rFonts w:ascii="Times New Roman" w:cs="Times New Roman" w:hAnsiTheme="minorEastAsia"/>
          <w:sz w:val="24"/>
          <w:szCs w:val="24"/>
        </w:rPr>
        <w:t>落实情况进行抽查考核。对安全生产管理规章制度和操作规</w:t>
      </w:r>
      <w:r>
        <w:rPr>
          <w:rFonts w:hint="eastAsia" w:ascii="Times New Roman" w:cs="Times New Roman" w:hAnsiTheme="minorEastAsia"/>
          <w:sz w:val="24"/>
          <w:szCs w:val="24"/>
        </w:rPr>
        <w:t>的</w:t>
      </w:r>
      <w:r>
        <w:rPr>
          <w:rFonts w:ascii="Times New Roman" w:cs="Times New Roman" w:hAnsiTheme="minorEastAsia"/>
          <w:sz w:val="24"/>
          <w:szCs w:val="24"/>
        </w:rPr>
        <w:t>修订</w:t>
      </w:r>
      <w:r>
        <w:rPr>
          <w:rFonts w:hint="eastAsia" w:ascii="Times New Roman" w:cs="Times New Roman" w:hAnsiTheme="minorEastAsia"/>
          <w:sz w:val="24"/>
          <w:szCs w:val="24"/>
        </w:rPr>
        <w:t>，对危险作业进行分级审批的要求。</w:t>
      </w:r>
    </w:p>
    <w:p>
      <w:pPr>
        <w:spacing w:line="440" w:lineRule="exact"/>
        <w:ind w:left="120" w:hanging="120" w:hangingChars="50"/>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3.9 安全教育培训</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3.9.1本条是对企业的教育培训管理作出了规定，包括</w:t>
      </w:r>
      <w:r>
        <w:rPr>
          <w:rFonts w:cs="Times New Roman" w:asciiTheme="minorEastAsia" w:hAnsiTheme="minorEastAsia"/>
          <w:sz w:val="24"/>
          <w:szCs w:val="24"/>
        </w:rPr>
        <w:t>执行安全教育培训制度</w:t>
      </w:r>
      <w:r>
        <w:rPr>
          <w:rFonts w:hint="eastAsia" w:cs="Times New Roman" w:asciiTheme="minorEastAsia" w:hAnsiTheme="minorEastAsia"/>
          <w:sz w:val="24"/>
          <w:szCs w:val="24"/>
        </w:rPr>
        <w:t>、</w:t>
      </w:r>
      <w:r>
        <w:rPr>
          <w:rFonts w:cs="Times New Roman" w:asciiTheme="minorEastAsia" w:hAnsiTheme="minorEastAsia"/>
          <w:sz w:val="24"/>
          <w:szCs w:val="24"/>
        </w:rPr>
        <w:t>制定并实施安全教育培训计划</w:t>
      </w:r>
      <w:r>
        <w:rPr>
          <w:rFonts w:hint="eastAsia" w:cs="Times New Roman" w:asciiTheme="minorEastAsia" w:hAnsiTheme="minorEastAsia"/>
          <w:sz w:val="24"/>
          <w:szCs w:val="24"/>
        </w:rPr>
        <w:t>、教育效果评价、用户安全宣传的内容。</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3.9.2 本条对企业安全生产管理人员教育培训进行了规定和说明，并特别指出：</w:t>
      </w:r>
      <w:r>
        <w:rPr>
          <w:rFonts w:hint="eastAsia" w:cs="Times New Roman" w:asciiTheme="minorEastAsia" w:hAnsiTheme="minorEastAsia"/>
          <w:sz w:val="24"/>
          <w:szCs w:val="24"/>
        </w:rPr>
        <w:t>法律法规要求必须对其安全生产知识和管理能力进行考核的，须经考核合格后方可任职。</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3.9.3 本条对操作岗位人员教育培训进行了规定：操作人员持证上岗情况、</w:t>
      </w:r>
      <w:r>
        <w:rPr>
          <w:rFonts w:cs="Times New Roman" w:asciiTheme="minorEastAsia" w:hAnsiTheme="minorEastAsia"/>
          <w:sz w:val="24"/>
          <w:szCs w:val="24"/>
        </w:rPr>
        <w:t>新入职人员安全教育培训</w:t>
      </w:r>
      <w:r>
        <w:rPr>
          <w:rFonts w:hint="eastAsia" w:cs="Times New Roman" w:asciiTheme="minorEastAsia" w:hAnsiTheme="minorEastAsia"/>
          <w:sz w:val="24"/>
          <w:szCs w:val="24"/>
        </w:rPr>
        <w:t>、</w:t>
      </w:r>
      <w:r>
        <w:rPr>
          <w:rFonts w:cs="Times New Roman" w:asciiTheme="minorEastAsia" w:hAnsiTheme="minorEastAsia"/>
          <w:sz w:val="24"/>
          <w:szCs w:val="24"/>
        </w:rPr>
        <w:t>人员转岗或离岗半年以上</w:t>
      </w:r>
      <w:r>
        <w:rPr>
          <w:rFonts w:hint="eastAsia" w:cs="Times New Roman" w:asciiTheme="minorEastAsia" w:hAnsiTheme="minorEastAsia"/>
          <w:sz w:val="24"/>
          <w:szCs w:val="24"/>
        </w:rPr>
        <w:t>的</w:t>
      </w:r>
      <w:r>
        <w:rPr>
          <w:rFonts w:cs="Times New Roman" w:asciiTheme="minorEastAsia" w:hAnsiTheme="minorEastAsia"/>
          <w:sz w:val="24"/>
          <w:szCs w:val="24"/>
        </w:rPr>
        <w:t>安全教育培训</w:t>
      </w:r>
      <w:r>
        <w:rPr>
          <w:rFonts w:hint="eastAsia" w:cs="Times New Roman" w:asciiTheme="minorEastAsia" w:hAnsiTheme="minorEastAsia"/>
          <w:sz w:val="24"/>
          <w:szCs w:val="24"/>
        </w:rPr>
        <w:t>及</w:t>
      </w:r>
      <w:r>
        <w:rPr>
          <w:rFonts w:cs="Times New Roman" w:asciiTheme="minorEastAsia" w:hAnsiTheme="minorEastAsia"/>
          <w:sz w:val="24"/>
          <w:szCs w:val="24"/>
        </w:rPr>
        <w:t>考核</w:t>
      </w:r>
      <w:r>
        <w:rPr>
          <w:rFonts w:hint="eastAsia" w:cs="Times New Roman" w:asciiTheme="minorEastAsia" w:hAnsiTheme="minorEastAsia"/>
          <w:sz w:val="24"/>
          <w:szCs w:val="24"/>
        </w:rPr>
        <w:t>、“四新”培训、特种人员培训等方面。</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3.9.4 本条对其他人员教育培训进行了规定：包括对相关方的作业人员以及外来参观、学习等人员教育和告知方面的内容。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3.9.5 本条是对开展用户安全方面的要求。</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3.10 抢险与事故管理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3.10.1本条是对企业抢险队的成立、人员的配置、持证上岗情况进行规定。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3.10.2 本条对抢险设施的配置和检查进行了规定。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3.10.3本条对企业的应急指挥系统的建立和管理进行了规定</w:t>
      </w:r>
      <w:r>
        <w:rPr>
          <w:rFonts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3.10.4本条对应急方案的建立作出了要求。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3.10.5本条对现场处置方案建立的入手点进行了规定，要求企业</w:t>
      </w:r>
      <w:r>
        <w:rPr>
          <w:rFonts w:cs="Times New Roman" w:asciiTheme="minorEastAsia" w:hAnsiTheme="minorEastAsia"/>
          <w:sz w:val="24"/>
          <w:szCs w:val="24"/>
        </w:rPr>
        <w:t>建立完整的现场处置方案；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3.10.6本条是对应急预案的备案进行要求。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3.10.7本条的对应急预案的修订的要求。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3.10.8 本条是对应急预案的演练和培训的要求。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3.10.9本条是对事故管理台账及报告程序的规定。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3.10.10本条是对启动应急救援预案的要求。若事故发生，</w:t>
      </w:r>
      <w:r>
        <w:rPr>
          <w:rFonts w:cs="Times New Roman" w:asciiTheme="minorEastAsia" w:hAnsiTheme="minorEastAsia"/>
          <w:sz w:val="24"/>
          <w:szCs w:val="24"/>
        </w:rPr>
        <w:t>企业积极组织抢险与救援，妥善处理，控制事态，减少人员伤亡和财产损失。</w:t>
      </w:r>
      <w:r>
        <w:rPr>
          <w:rFonts w:cs="Times New Roman" w:asciiTheme="minorEastAsia" w:hAnsiTheme="minorEastAsia"/>
          <w:sz w:val="24"/>
          <w:szCs w:val="24"/>
        </w:rPr>
        <w:cr/>
      </w:r>
      <w:r>
        <w:rPr>
          <w:rFonts w:hint="eastAsia" w:cs="Times New Roman" w:asciiTheme="minorEastAsia" w:hAnsiTheme="minorEastAsia"/>
          <w:sz w:val="24"/>
          <w:szCs w:val="24"/>
        </w:rPr>
        <w:t>3.10.11本条明确了企业在发生安全生产事故后的职责。</w:t>
      </w:r>
    </w:p>
    <w:p>
      <w:pPr>
        <w:spacing w:line="440" w:lineRule="exac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3.11</w:t>
      </w:r>
      <w:r>
        <w:rPr>
          <w:rFonts w:cs="Times New Roman" w:asciiTheme="minorEastAsia" w:hAnsiTheme="minorEastAsia"/>
          <w:b/>
          <w:sz w:val="24"/>
          <w:szCs w:val="24"/>
        </w:rPr>
        <w:t>安全检查</w:t>
      </w:r>
      <w:r>
        <w:rPr>
          <w:rFonts w:hint="eastAsia" w:cs="Times New Roman" w:asciiTheme="minorEastAsia" w:hAnsiTheme="minorEastAsia"/>
          <w:b/>
          <w:sz w:val="24"/>
          <w:szCs w:val="24"/>
        </w:rPr>
        <w:t>与</w:t>
      </w:r>
      <w:r>
        <w:rPr>
          <w:rFonts w:cs="Times New Roman" w:asciiTheme="minorEastAsia" w:hAnsiTheme="minorEastAsia"/>
          <w:b/>
          <w:sz w:val="24"/>
          <w:szCs w:val="24"/>
        </w:rPr>
        <w:t>隐患整改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w:t>
      </w:r>
      <w:r>
        <w:rPr>
          <w:rFonts w:cs="Times New Roman" w:asciiTheme="minorEastAsia" w:hAnsiTheme="minorEastAsia"/>
          <w:sz w:val="24"/>
          <w:szCs w:val="24"/>
        </w:rPr>
        <w:t>.1</w:t>
      </w:r>
      <w:r>
        <w:rPr>
          <w:rFonts w:hint="eastAsia" w:cs="Times New Roman" w:asciiTheme="minorEastAsia" w:hAnsiTheme="minorEastAsia"/>
          <w:sz w:val="24"/>
          <w:szCs w:val="24"/>
        </w:rPr>
        <w:t>本条对企业的安全检查管理制度作出了规定。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w:t>
      </w:r>
      <w:r>
        <w:rPr>
          <w:rFonts w:cs="Times New Roman" w:asciiTheme="minorEastAsia" w:hAnsiTheme="minorEastAsia"/>
          <w:sz w:val="24"/>
          <w:szCs w:val="24"/>
        </w:rPr>
        <w:t>.2</w:t>
      </w:r>
      <w:r>
        <w:rPr>
          <w:rFonts w:hint="eastAsia" w:cs="Times New Roman" w:asciiTheme="minorEastAsia" w:hAnsiTheme="minorEastAsia"/>
          <w:sz w:val="24"/>
          <w:szCs w:val="24"/>
        </w:rPr>
        <w:t>本条对企业的安全检查计划、记录台账作出了规定。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3.11.3本条对企业在隐患管理方面的内容进行了规定。要求</w:t>
      </w:r>
      <w:r>
        <w:rPr>
          <w:rFonts w:cs="Times New Roman" w:asciiTheme="minorEastAsia" w:hAnsiTheme="minorEastAsia"/>
          <w:sz w:val="24"/>
          <w:szCs w:val="24"/>
        </w:rPr>
        <w:t>企业制定隐患治理方案，对隐患及时进行治理。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3.11.4本条从政府燃气管理部门以及企业自身两个角度对检查内容进行了规定，相关分类、明确要求均在表格中进行了逐一列举。企业安全监督检查表包括政府燃气管理部门对企业开展安全监督检查内容（见附录</w:t>
      </w:r>
      <w:r>
        <w:rPr>
          <w:rFonts w:ascii="Times New Roman" w:hAnsi="Times New Roman" w:cs="Times New Roman"/>
          <w:sz w:val="24"/>
          <w:szCs w:val="24"/>
        </w:rPr>
        <w:t>A</w:t>
      </w:r>
      <w:r>
        <w:rPr>
          <w:rFonts w:hint="eastAsia" w:cs="Times New Roman" w:asciiTheme="minorEastAsia" w:hAnsiTheme="minorEastAsia"/>
          <w:sz w:val="24"/>
          <w:szCs w:val="24"/>
        </w:rPr>
        <w:t>）、企业开展安全自查以及对站点开展安全检查内容（见附录</w:t>
      </w:r>
      <w:r>
        <w:rPr>
          <w:rFonts w:ascii="Times New Roman" w:hAnsi="Times New Roman" w:cs="Times New Roman"/>
          <w:sz w:val="24"/>
          <w:szCs w:val="24"/>
        </w:rPr>
        <w:t>B</w:t>
      </w:r>
      <w:r>
        <w:rPr>
          <w:rFonts w:hint="eastAsia" w:cs="Times New Roman" w:asciiTheme="minorEastAsia" w:hAnsiTheme="minorEastAsia"/>
          <w:sz w:val="24"/>
          <w:szCs w:val="24"/>
        </w:rPr>
        <w:t>）。</w:t>
      </w:r>
    </w:p>
    <w:p>
      <w:pPr>
        <w:spacing w:line="440" w:lineRule="exact"/>
        <w:jc w:val="center"/>
        <w:outlineLvl w:val="0"/>
        <w:rPr>
          <w:rFonts w:cs="Times New Roman" w:asciiTheme="minorEastAsia" w:hAnsiTheme="minorEastAsia"/>
          <w:b/>
          <w:sz w:val="24"/>
          <w:szCs w:val="24"/>
        </w:rPr>
      </w:pPr>
      <w:r>
        <w:rPr>
          <w:rFonts w:hint="eastAsia" w:cs="Times New Roman" w:asciiTheme="minorEastAsia" w:hAnsiTheme="minorEastAsia"/>
          <w:b/>
          <w:sz w:val="24"/>
          <w:szCs w:val="24"/>
        </w:rPr>
        <w:t xml:space="preserve">4 </w:t>
      </w:r>
      <w:r>
        <w:rPr>
          <w:rFonts w:cs="Times New Roman" w:asciiTheme="minorEastAsia" w:hAnsiTheme="minorEastAsia"/>
          <w:b/>
          <w:sz w:val="24"/>
          <w:szCs w:val="24"/>
        </w:rPr>
        <w:t>液化石油气储配站</w:t>
      </w:r>
      <w:r>
        <w:rPr>
          <w:rFonts w:hint="eastAsia" w:cs="Times New Roman" w:asciiTheme="minorEastAsia" w:hAnsiTheme="minorEastAsia"/>
          <w:b/>
          <w:sz w:val="24"/>
          <w:szCs w:val="24"/>
        </w:rPr>
        <w:t>安全</w:t>
      </w:r>
      <w:r>
        <w:rPr>
          <w:rFonts w:cs="Times New Roman" w:asciiTheme="minorEastAsia" w:hAnsiTheme="minorEastAsia"/>
          <w:b/>
          <w:sz w:val="24"/>
          <w:szCs w:val="24"/>
        </w:rPr>
        <w:t>管理</w:t>
      </w:r>
    </w:p>
    <w:p>
      <w:pPr>
        <w:spacing w:line="400" w:lineRule="atLeast"/>
        <w:outlineLvl w:val="1"/>
        <w:rPr>
          <w:rFonts w:cs="Times New Roman" w:asciiTheme="minorEastAsia" w:hAnsiTheme="minorEastAsia"/>
          <w:sz w:val="24"/>
          <w:szCs w:val="24"/>
        </w:rPr>
      </w:pPr>
      <w:r>
        <w:rPr>
          <w:rFonts w:hint="eastAsia" w:cs="Times New Roman" w:asciiTheme="minorEastAsia" w:hAnsiTheme="minorEastAsia"/>
          <w:sz w:val="24"/>
          <w:szCs w:val="24"/>
        </w:rPr>
        <w:t>4.1 安全生产基础管理应符合下列规定：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4.1.1 本条是对各岗位人员配备的要求。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4.1.2 本条对安全教育培训制度、培训计划进行了规定。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4.1.3 本条对落实安全管理制度和安全操作规程方面的内容进行了规定。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4.1.4 本条对安全管理制度和安全操作规程的考核进行了规定。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4.1.5 本条是明确企业应按照要求开展应急管理工作。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4.1.6 本条是对设备设施管理应符合的规定作出要求：要求企业建立完整、准确的设备设施技术档案和台账，制定并严格执行设备设施维护管理制度，落实维护周期、维护内容、维护程序、维护保养标准。建立特种设备安全技术档案。以及相关设备设施的使用、检测、维修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4.1.7 本条对企业重大危险源管理作出了规定。</w:t>
      </w:r>
      <w:r>
        <w:rPr>
          <w:rFonts w:hint="eastAsia" w:cs="Times New Roman" w:asciiTheme="minorEastAsia" w:hAnsiTheme="minorEastAsia"/>
          <w:sz w:val="24"/>
          <w:szCs w:val="24"/>
        </w:rPr>
        <w:t>要求企业辨识并确定重大危险源，建立重大危险源管理台账。将重大危险源及相关安全措施、应急预案报送政府燃气管理部门备案，并设置安全监控报警系统等系列内容。</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4.1.8 本条是对企业在安全检查与隐患整改方面的规定。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4.1.9 本条是对安全管理台账的建立的规定。</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 本条是对液化石油气储配站现场安全管理的一些规定：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4.2.1 本条规定了门卫与安防管理制度。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4.2.2 本条规定了值班管理制度。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4.2.3 本条规定了防火间距要求，应符合</w:t>
      </w:r>
      <w:r>
        <w:rPr>
          <w:rFonts w:ascii="Times New Roman" w:hAnsi="Times New Roman" w:cs="Times New Roman"/>
          <w:sz w:val="24"/>
          <w:szCs w:val="24"/>
        </w:rPr>
        <w:t>GB 51142</w:t>
      </w:r>
      <w:r>
        <w:rPr>
          <w:rFonts w:ascii="Times New Roman" w:cs="Times New Roman" w:hAnsiTheme="minorEastAsia"/>
          <w:sz w:val="24"/>
          <w:szCs w:val="24"/>
        </w:rPr>
        <w:t>、</w:t>
      </w:r>
      <w:r>
        <w:rPr>
          <w:rFonts w:ascii="Times New Roman" w:hAnsi="Times New Roman" w:cs="Times New Roman"/>
          <w:sz w:val="24"/>
          <w:szCs w:val="24"/>
        </w:rPr>
        <w:t>GB 50016</w:t>
      </w:r>
      <w:r>
        <w:rPr>
          <w:rFonts w:hint="eastAsia" w:cs="Times New Roman" w:asciiTheme="minorEastAsia" w:hAnsiTheme="minorEastAsia"/>
          <w:sz w:val="24"/>
          <w:szCs w:val="24"/>
        </w:rPr>
        <w:t>等法规的规定和要求。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4.2.4 本条对储配站充装区的充装车辆停靠、车辆要求、气瓶充装、充装台设施配备和维护、充装台的管理的规定。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4.2.5 本条是对储配站的储罐区设置、管道布置要求、罐区设施配置和维护、液化石油气储罐仪表的设置、罐区安全管理的规定。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4.2.6 本条是对储配站的机泵房设备配置和维护、机泵房安全管理方面的规定。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4.2.7 本条是对储配站的罐车装卸安全操作、装卸台柱设施配置与维护、装卸台安全管理方面的规定。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4.2.8 本条是对储配站气化站的防火间距的规定，应符合</w:t>
      </w:r>
      <w:r>
        <w:rPr>
          <w:rFonts w:ascii="Times New Roman" w:hAnsi="Times New Roman" w:cs="Times New Roman"/>
          <w:sz w:val="24"/>
          <w:szCs w:val="24"/>
        </w:rPr>
        <w:t>GB 51142</w:t>
      </w:r>
      <w:r>
        <w:rPr>
          <w:rFonts w:hint="eastAsia" w:cs="Times New Roman" w:asciiTheme="minorEastAsia" w:hAnsiTheme="minorEastAsia"/>
          <w:sz w:val="24"/>
          <w:szCs w:val="24"/>
        </w:rPr>
        <w:t>的相关规定。以及气化和混气装置布置、混气系统、热值仪间设置、相关设备设施的配置、运行和维护以及消防安全器材的配置、气化间、混气间安全管理方面的规定。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4.2.9 本条对储配站的检维修及危险作业许可管理进行了规定。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4.2.10 本条是储配站防雷防静电设施及其维护和安全管理方面的规定：从防雷设计、设备接地、设施设备检测方面进行。</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4.2.11 本条是对储配站配电房安全管理的规定。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4.2.12本条是对消防泵房的配套设置在符合法规方面的规定。</w:t>
      </w:r>
    </w:p>
    <w:p>
      <w:pPr>
        <w:spacing w:line="44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5 液化石油气瓶装供应安全管理</w:t>
      </w:r>
    </w:p>
    <w:p>
      <w:pPr>
        <w:spacing w:line="400" w:lineRule="atLeast"/>
        <w:outlineLvl w:val="1"/>
        <w:rPr>
          <w:rFonts w:cs="Times New Roman" w:asciiTheme="minorEastAsia" w:hAnsiTheme="minorEastAsia"/>
          <w:sz w:val="24"/>
          <w:szCs w:val="24"/>
        </w:rPr>
      </w:pPr>
      <w:r>
        <w:rPr>
          <w:rFonts w:hint="eastAsia" w:cs="Times New Roman" w:asciiTheme="minorEastAsia" w:hAnsiTheme="minorEastAsia"/>
          <w:sz w:val="24"/>
          <w:szCs w:val="24"/>
        </w:rPr>
        <w:t>5.1 本条是对一级供应站、二级供应站、三级供应站以及便民服务部安全管理的规定。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5.1.1 本条从岗位人员要求方面进行规定。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5.1.2 本条是对执行安全管理制度，开展安全检查，进行安全隐患整改，定期开展安全评价工作，进行安全公告方面的规定。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5.1.3 本条对供应站资质证照或文件以及不得存在的行为进行了说明。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5.1.4 本条是对供应站周边环境与防火间距、瓶库建筑结构、气瓶储存管理、瓶库防火防爆的规定和要求。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5.1.5 本条是对消防设施配置的要求。</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5.2 本条是对液化石油气瓶组用户安全管理的规定。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5.2.1 本条是对执行安全管理制度，开展安全检查，进行安全隐患整改方面的要求。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5.2.2 本条是对防火警示标志以及安全警示标志的设置要求。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5.2.3 本条是对签订供气合同的要求。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5.2.4本条是对防火间距的规定。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5.2.5 本条是对瓶组间建筑结构的规定和要求。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5.2.6本条是对防爆设施设置和维护的要求。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5.2.7 本条是对消防设施配置、维护的要求。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5.2.8 本条是对燃气使用的要求。</w:t>
      </w:r>
    </w:p>
    <w:p>
      <w:pPr>
        <w:spacing w:line="400" w:lineRule="atLeast"/>
        <w:rPr>
          <w:rFonts w:cs="Times New Roman" w:asciiTheme="minorEastAsia" w:hAnsiTheme="minorEastAsia"/>
          <w:sz w:val="24"/>
          <w:szCs w:val="24"/>
        </w:rPr>
      </w:pPr>
    </w:p>
    <w:p>
      <w:pPr>
        <w:pStyle w:val="18"/>
      </w:pPr>
    </w:p>
    <w:sectPr>
      <w:footerReference r:id="rId14" w:type="default"/>
      <w:pgSz w:w="11906" w:h="16838"/>
      <w:pgMar w:top="1440" w:right="1797" w:bottom="1383"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p>
    <w:pPr>
      <w:pStyle w:val="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sdt>
    <w:sdtPr>
      <w:id w:val="489689"/>
    </w:sdtPr>
    <w:sdtContent>
      <w:p>
        <w:pPr>
          <w:pStyle w:val="5"/>
          <w:jc w:val="right"/>
        </w:pPr>
      </w:p>
      <w:p>
        <w:pPr>
          <w:pStyle w:val="5"/>
          <w:jc w:val="right"/>
        </w:pP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IV</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zEK8BAABL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ezEK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pPr>
  </w:p>
  <w:p>
    <w:pPr>
      <w:pStyle w:val="6"/>
    </w:pPr>
    <w:r>
      <w:rPr>
        <w:rFonts w:hint="eastAsia"/>
      </w:rPr>
      <w:t>DB53/T XXX</w:t>
    </w:r>
    <w:r>
      <w:rPr>
        <w:rFonts w:hint="eastAsia" w:ascii="宋体" w:hAnsi="宋体" w:eastAsia="宋体"/>
      </w:rPr>
      <w:t>—</w:t>
    </w:r>
    <w:r>
      <w:rPr>
        <w:rFonts w:hint="eastAsia"/>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8A8ED"/>
    <w:multiLevelType w:val="singleLevel"/>
    <w:tmpl w:val="8128A8ED"/>
    <w:lvl w:ilvl="0" w:tentative="0">
      <w:start w:val="1"/>
      <w:numFmt w:val="decimal"/>
      <w:suff w:val="nothing"/>
      <w:lvlText w:val="%1、"/>
      <w:lvlJc w:val="left"/>
    </w:lvl>
  </w:abstractNum>
  <w:abstractNum w:abstractNumId="1">
    <w:nsid w:val="09BE6343"/>
    <w:multiLevelType w:val="multilevel"/>
    <w:tmpl w:val="09BE6343"/>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k1MzA3ZTY4NGJjZWM0OWQxNGM2NWRhMTJjZDIifQ=="/>
  </w:docVars>
  <w:rsids>
    <w:rsidRoot w:val="00684B69"/>
    <w:rsid w:val="0000094E"/>
    <w:rsid w:val="0000267D"/>
    <w:rsid w:val="00002FA3"/>
    <w:rsid w:val="00003475"/>
    <w:rsid w:val="000057C9"/>
    <w:rsid w:val="000065F1"/>
    <w:rsid w:val="00007C5D"/>
    <w:rsid w:val="00010136"/>
    <w:rsid w:val="000116D4"/>
    <w:rsid w:val="00013389"/>
    <w:rsid w:val="00016689"/>
    <w:rsid w:val="00016800"/>
    <w:rsid w:val="000206A0"/>
    <w:rsid w:val="00022A51"/>
    <w:rsid w:val="00024A1F"/>
    <w:rsid w:val="000262E8"/>
    <w:rsid w:val="000263F3"/>
    <w:rsid w:val="00031A5E"/>
    <w:rsid w:val="00032BDB"/>
    <w:rsid w:val="00037BCF"/>
    <w:rsid w:val="000418B0"/>
    <w:rsid w:val="00041965"/>
    <w:rsid w:val="00042D98"/>
    <w:rsid w:val="00043CB0"/>
    <w:rsid w:val="00043F6E"/>
    <w:rsid w:val="000518A9"/>
    <w:rsid w:val="00054271"/>
    <w:rsid w:val="00054C96"/>
    <w:rsid w:val="000577AE"/>
    <w:rsid w:val="000602F5"/>
    <w:rsid w:val="00063B4F"/>
    <w:rsid w:val="00067721"/>
    <w:rsid w:val="00067EA8"/>
    <w:rsid w:val="0007073E"/>
    <w:rsid w:val="00073224"/>
    <w:rsid w:val="000752E3"/>
    <w:rsid w:val="00077491"/>
    <w:rsid w:val="0008013F"/>
    <w:rsid w:val="0008171D"/>
    <w:rsid w:val="00081D7C"/>
    <w:rsid w:val="00082DD6"/>
    <w:rsid w:val="000837C0"/>
    <w:rsid w:val="00085527"/>
    <w:rsid w:val="00085F7B"/>
    <w:rsid w:val="00086936"/>
    <w:rsid w:val="00087E87"/>
    <w:rsid w:val="0009533D"/>
    <w:rsid w:val="0009602C"/>
    <w:rsid w:val="000965C4"/>
    <w:rsid w:val="000A019D"/>
    <w:rsid w:val="000A0672"/>
    <w:rsid w:val="000A7898"/>
    <w:rsid w:val="000B36A4"/>
    <w:rsid w:val="000B5658"/>
    <w:rsid w:val="000B5B81"/>
    <w:rsid w:val="000B67D2"/>
    <w:rsid w:val="000C1D14"/>
    <w:rsid w:val="000C33AD"/>
    <w:rsid w:val="000C406C"/>
    <w:rsid w:val="000C54A1"/>
    <w:rsid w:val="000D23CC"/>
    <w:rsid w:val="000D35E3"/>
    <w:rsid w:val="000D3FB4"/>
    <w:rsid w:val="000D551C"/>
    <w:rsid w:val="000D6150"/>
    <w:rsid w:val="000D6C7C"/>
    <w:rsid w:val="000D7373"/>
    <w:rsid w:val="000E40D3"/>
    <w:rsid w:val="000E70BB"/>
    <w:rsid w:val="000E77D5"/>
    <w:rsid w:val="000F07A6"/>
    <w:rsid w:val="000F08F8"/>
    <w:rsid w:val="000F1E8D"/>
    <w:rsid w:val="000F2214"/>
    <w:rsid w:val="000F383B"/>
    <w:rsid w:val="000F395F"/>
    <w:rsid w:val="000F39D0"/>
    <w:rsid w:val="000F7C86"/>
    <w:rsid w:val="00100400"/>
    <w:rsid w:val="001022D1"/>
    <w:rsid w:val="001025F9"/>
    <w:rsid w:val="001034CE"/>
    <w:rsid w:val="0011060D"/>
    <w:rsid w:val="00110664"/>
    <w:rsid w:val="00110B9B"/>
    <w:rsid w:val="001114AA"/>
    <w:rsid w:val="00111771"/>
    <w:rsid w:val="001117ED"/>
    <w:rsid w:val="0011243A"/>
    <w:rsid w:val="00112B97"/>
    <w:rsid w:val="001130F4"/>
    <w:rsid w:val="00113700"/>
    <w:rsid w:val="00114288"/>
    <w:rsid w:val="00114458"/>
    <w:rsid w:val="00115BE2"/>
    <w:rsid w:val="00116406"/>
    <w:rsid w:val="00116794"/>
    <w:rsid w:val="001211DE"/>
    <w:rsid w:val="0012305D"/>
    <w:rsid w:val="00124427"/>
    <w:rsid w:val="00126202"/>
    <w:rsid w:val="00126A98"/>
    <w:rsid w:val="00131A60"/>
    <w:rsid w:val="001320E9"/>
    <w:rsid w:val="00132E38"/>
    <w:rsid w:val="00133166"/>
    <w:rsid w:val="0013354D"/>
    <w:rsid w:val="00133672"/>
    <w:rsid w:val="00133BCE"/>
    <w:rsid w:val="00133FBF"/>
    <w:rsid w:val="0013638D"/>
    <w:rsid w:val="00136787"/>
    <w:rsid w:val="00136E0F"/>
    <w:rsid w:val="00143B6F"/>
    <w:rsid w:val="00145FE5"/>
    <w:rsid w:val="001477DF"/>
    <w:rsid w:val="00150008"/>
    <w:rsid w:val="001500DD"/>
    <w:rsid w:val="001511D1"/>
    <w:rsid w:val="00151B21"/>
    <w:rsid w:val="00152563"/>
    <w:rsid w:val="001525D1"/>
    <w:rsid w:val="001617E6"/>
    <w:rsid w:val="00161D67"/>
    <w:rsid w:val="00162350"/>
    <w:rsid w:val="00162B28"/>
    <w:rsid w:val="00165C52"/>
    <w:rsid w:val="00165D03"/>
    <w:rsid w:val="00167437"/>
    <w:rsid w:val="00167A79"/>
    <w:rsid w:val="00170937"/>
    <w:rsid w:val="00172653"/>
    <w:rsid w:val="00175705"/>
    <w:rsid w:val="00175DFF"/>
    <w:rsid w:val="001772B6"/>
    <w:rsid w:val="00180C6F"/>
    <w:rsid w:val="00181125"/>
    <w:rsid w:val="0018113B"/>
    <w:rsid w:val="00181648"/>
    <w:rsid w:val="00181712"/>
    <w:rsid w:val="0018265F"/>
    <w:rsid w:val="00182784"/>
    <w:rsid w:val="00183227"/>
    <w:rsid w:val="00183A68"/>
    <w:rsid w:val="00184483"/>
    <w:rsid w:val="00184C16"/>
    <w:rsid w:val="001858E3"/>
    <w:rsid w:val="00186315"/>
    <w:rsid w:val="00186431"/>
    <w:rsid w:val="001864A7"/>
    <w:rsid w:val="00186533"/>
    <w:rsid w:val="00187FE3"/>
    <w:rsid w:val="00190379"/>
    <w:rsid w:val="00191235"/>
    <w:rsid w:val="0019155D"/>
    <w:rsid w:val="00193508"/>
    <w:rsid w:val="001937C1"/>
    <w:rsid w:val="00193810"/>
    <w:rsid w:val="0019437A"/>
    <w:rsid w:val="00195373"/>
    <w:rsid w:val="00197C53"/>
    <w:rsid w:val="001A04C9"/>
    <w:rsid w:val="001A08C9"/>
    <w:rsid w:val="001A16DF"/>
    <w:rsid w:val="001A26E6"/>
    <w:rsid w:val="001A2EB3"/>
    <w:rsid w:val="001A354D"/>
    <w:rsid w:val="001B0233"/>
    <w:rsid w:val="001B1272"/>
    <w:rsid w:val="001B3555"/>
    <w:rsid w:val="001B3AD2"/>
    <w:rsid w:val="001B4176"/>
    <w:rsid w:val="001B42BA"/>
    <w:rsid w:val="001B5379"/>
    <w:rsid w:val="001B5540"/>
    <w:rsid w:val="001B5B39"/>
    <w:rsid w:val="001C05F8"/>
    <w:rsid w:val="001C14F8"/>
    <w:rsid w:val="001C17AE"/>
    <w:rsid w:val="001C275D"/>
    <w:rsid w:val="001C3F6A"/>
    <w:rsid w:val="001C401F"/>
    <w:rsid w:val="001C4BCA"/>
    <w:rsid w:val="001C6773"/>
    <w:rsid w:val="001C78BE"/>
    <w:rsid w:val="001C7AE0"/>
    <w:rsid w:val="001D1D0A"/>
    <w:rsid w:val="001D5126"/>
    <w:rsid w:val="001D6CD0"/>
    <w:rsid w:val="001E2032"/>
    <w:rsid w:val="001E25B9"/>
    <w:rsid w:val="001E45E4"/>
    <w:rsid w:val="001E4D3B"/>
    <w:rsid w:val="001E5E00"/>
    <w:rsid w:val="001E68F6"/>
    <w:rsid w:val="001E6D49"/>
    <w:rsid w:val="001E6E6D"/>
    <w:rsid w:val="001F05A8"/>
    <w:rsid w:val="001F06AD"/>
    <w:rsid w:val="001F2AC4"/>
    <w:rsid w:val="001F4F3A"/>
    <w:rsid w:val="001F7191"/>
    <w:rsid w:val="001F76E0"/>
    <w:rsid w:val="00201D13"/>
    <w:rsid w:val="00203B97"/>
    <w:rsid w:val="00203D0B"/>
    <w:rsid w:val="00206515"/>
    <w:rsid w:val="00206A5E"/>
    <w:rsid w:val="00206CDD"/>
    <w:rsid w:val="002070D3"/>
    <w:rsid w:val="002115D5"/>
    <w:rsid w:val="00212EAB"/>
    <w:rsid w:val="0021340F"/>
    <w:rsid w:val="00215332"/>
    <w:rsid w:val="00223015"/>
    <w:rsid w:val="002243EB"/>
    <w:rsid w:val="002269DA"/>
    <w:rsid w:val="0022710A"/>
    <w:rsid w:val="00232C81"/>
    <w:rsid w:val="00233438"/>
    <w:rsid w:val="00237633"/>
    <w:rsid w:val="00242C50"/>
    <w:rsid w:val="00243241"/>
    <w:rsid w:val="00243730"/>
    <w:rsid w:val="00243E1E"/>
    <w:rsid w:val="002478B5"/>
    <w:rsid w:val="00252DCA"/>
    <w:rsid w:val="00253A4D"/>
    <w:rsid w:val="00255043"/>
    <w:rsid w:val="0025645E"/>
    <w:rsid w:val="00256977"/>
    <w:rsid w:val="0025711B"/>
    <w:rsid w:val="00257270"/>
    <w:rsid w:val="0026027A"/>
    <w:rsid w:val="00261510"/>
    <w:rsid w:val="00261A39"/>
    <w:rsid w:val="00261E5A"/>
    <w:rsid w:val="00262CA3"/>
    <w:rsid w:val="00266402"/>
    <w:rsid w:val="00266AC6"/>
    <w:rsid w:val="00271719"/>
    <w:rsid w:val="002721C9"/>
    <w:rsid w:val="0027459E"/>
    <w:rsid w:val="002750EC"/>
    <w:rsid w:val="0028011B"/>
    <w:rsid w:val="00281632"/>
    <w:rsid w:val="00283214"/>
    <w:rsid w:val="00284DEF"/>
    <w:rsid w:val="00286EE6"/>
    <w:rsid w:val="0028768C"/>
    <w:rsid w:val="0029079C"/>
    <w:rsid w:val="00293FD3"/>
    <w:rsid w:val="002946F0"/>
    <w:rsid w:val="00297781"/>
    <w:rsid w:val="00297BDE"/>
    <w:rsid w:val="002A022D"/>
    <w:rsid w:val="002A0C43"/>
    <w:rsid w:val="002A29CE"/>
    <w:rsid w:val="002A3D19"/>
    <w:rsid w:val="002A5AF4"/>
    <w:rsid w:val="002A7069"/>
    <w:rsid w:val="002B044F"/>
    <w:rsid w:val="002B0A53"/>
    <w:rsid w:val="002B0BF5"/>
    <w:rsid w:val="002B6F2D"/>
    <w:rsid w:val="002C1A74"/>
    <w:rsid w:val="002C52C1"/>
    <w:rsid w:val="002C5E0F"/>
    <w:rsid w:val="002C6397"/>
    <w:rsid w:val="002D00E4"/>
    <w:rsid w:val="002D2DA2"/>
    <w:rsid w:val="002E4041"/>
    <w:rsid w:val="002F0FFA"/>
    <w:rsid w:val="002F14A1"/>
    <w:rsid w:val="002F257E"/>
    <w:rsid w:val="002F50C2"/>
    <w:rsid w:val="002F70D3"/>
    <w:rsid w:val="00303D4C"/>
    <w:rsid w:val="0030544D"/>
    <w:rsid w:val="00306120"/>
    <w:rsid w:val="00307EA7"/>
    <w:rsid w:val="00310129"/>
    <w:rsid w:val="00311E05"/>
    <w:rsid w:val="00312AFA"/>
    <w:rsid w:val="00316AA2"/>
    <w:rsid w:val="00316D30"/>
    <w:rsid w:val="00324203"/>
    <w:rsid w:val="0032421D"/>
    <w:rsid w:val="00324A65"/>
    <w:rsid w:val="00324B94"/>
    <w:rsid w:val="0032571D"/>
    <w:rsid w:val="0032597A"/>
    <w:rsid w:val="00325B3B"/>
    <w:rsid w:val="00327356"/>
    <w:rsid w:val="003309AC"/>
    <w:rsid w:val="0033111C"/>
    <w:rsid w:val="00331378"/>
    <w:rsid w:val="00332353"/>
    <w:rsid w:val="003378D7"/>
    <w:rsid w:val="00344579"/>
    <w:rsid w:val="003464AB"/>
    <w:rsid w:val="00347984"/>
    <w:rsid w:val="00350496"/>
    <w:rsid w:val="00350C08"/>
    <w:rsid w:val="003521E6"/>
    <w:rsid w:val="00354130"/>
    <w:rsid w:val="0035461C"/>
    <w:rsid w:val="0035481C"/>
    <w:rsid w:val="00354FB0"/>
    <w:rsid w:val="0035696D"/>
    <w:rsid w:val="003603F3"/>
    <w:rsid w:val="00360A1F"/>
    <w:rsid w:val="0036438A"/>
    <w:rsid w:val="00364D42"/>
    <w:rsid w:val="003650C1"/>
    <w:rsid w:val="00365F9C"/>
    <w:rsid w:val="00367424"/>
    <w:rsid w:val="003674C8"/>
    <w:rsid w:val="003679A3"/>
    <w:rsid w:val="00370145"/>
    <w:rsid w:val="003703CB"/>
    <w:rsid w:val="0037231C"/>
    <w:rsid w:val="00372D65"/>
    <w:rsid w:val="00373DE6"/>
    <w:rsid w:val="00374112"/>
    <w:rsid w:val="0037415C"/>
    <w:rsid w:val="003741DA"/>
    <w:rsid w:val="00374755"/>
    <w:rsid w:val="00375F41"/>
    <w:rsid w:val="0038155A"/>
    <w:rsid w:val="00381C98"/>
    <w:rsid w:val="00382DE7"/>
    <w:rsid w:val="00382FA8"/>
    <w:rsid w:val="00385BBF"/>
    <w:rsid w:val="00386B7E"/>
    <w:rsid w:val="00392BAC"/>
    <w:rsid w:val="00393C02"/>
    <w:rsid w:val="003943AF"/>
    <w:rsid w:val="00395FA7"/>
    <w:rsid w:val="00396A1D"/>
    <w:rsid w:val="003A140B"/>
    <w:rsid w:val="003A16BF"/>
    <w:rsid w:val="003A2761"/>
    <w:rsid w:val="003A33D0"/>
    <w:rsid w:val="003A41A1"/>
    <w:rsid w:val="003A47B4"/>
    <w:rsid w:val="003A4DDB"/>
    <w:rsid w:val="003A693B"/>
    <w:rsid w:val="003A6B2A"/>
    <w:rsid w:val="003B2C9E"/>
    <w:rsid w:val="003B3230"/>
    <w:rsid w:val="003B3D3D"/>
    <w:rsid w:val="003B6A08"/>
    <w:rsid w:val="003C06F5"/>
    <w:rsid w:val="003C1C7F"/>
    <w:rsid w:val="003C20F6"/>
    <w:rsid w:val="003C2896"/>
    <w:rsid w:val="003C5769"/>
    <w:rsid w:val="003C7B7F"/>
    <w:rsid w:val="003C7C35"/>
    <w:rsid w:val="003C7E42"/>
    <w:rsid w:val="003D0AB6"/>
    <w:rsid w:val="003D29B5"/>
    <w:rsid w:val="003D2ECE"/>
    <w:rsid w:val="003D39AF"/>
    <w:rsid w:val="003D495A"/>
    <w:rsid w:val="003D4A32"/>
    <w:rsid w:val="003D7DE0"/>
    <w:rsid w:val="003E0143"/>
    <w:rsid w:val="003E2C99"/>
    <w:rsid w:val="003E3148"/>
    <w:rsid w:val="003E4988"/>
    <w:rsid w:val="003E728D"/>
    <w:rsid w:val="003E73B2"/>
    <w:rsid w:val="003E7C4A"/>
    <w:rsid w:val="003F259C"/>
    <w:rsid w:val="003F3894"/>
    <w:rsid w:val="003F3BEB"/>
    <w:rsid w:val="003F580C"/>
    <w:rsid w:val="0040024D"/>
    <w:rsid w:val="00400460"/>
    <w:rsid w:val="004006E8"/>
    <w:rsid w:val="00400ED7"/>
    <w:rsid w:val="004032F9"/>
    <w:rsid w:val="00403D11"/>
    <w:rsid w:val="00404295"/>
    <w:rsid w:val="00410750"/>
    <w:rsid w:val="004115C1"/>
    <w:rsid w:val="00412720"/>
    <w:rsid w:val="00414138"/>
    <w:rsid w:val="0041468B"/>
    <w:rsid w:val="00415E22"/>
    <w:rsid w:val="004162DB"/>
    <w:rsid w:val="004166B2"/>
    <w:rsid w:val="00417F57"/>
    <w:rsid w:val="00420FFD"/>
    <w:rsid w:val="004243ED"/>
    <w:rsid w:val="00424B04"/>
    <w:rsid w:val="00424EC9"/>
    <w:rsid w:val="004267F9"/>
    <w:rsid w:val="00427C9E"/>
    <w:rsid w:val="00431DD4"/>
    <w:rsid w:val="00434D94"/>
    <w:rsid w:val="004365EA"/>
    <w:rsid w:val="004371D5"/>
    <w:rsid w:val="004372F6"/>
    <w:rsid w:val="00440E52"/>
    <w:rsid w:val="00441675"/>
    <w:rsid w:val="004417E3"/>
    <w:rsid w:val="00442035"/>
    <w:rsid w:val="00443743"/>
    <w:rsid w:val="00443C49"/>
    <w:rsid w:val="0044475D"/>
    <w:rsid w:val="004459E4"/>
    <w:rsid w:val="00446520"/>
    <w:rsid w:val="00447358"/>
    <w:rsid w:val="00450AFD"/>
    <w:rsid w:val="004541E5"/>
    <w:rsid w:val="00454EF5"/>
    <w:rsid w:val="00454FDF"/>
    <w:rsid w:val="0045511A"/>
    <w:rsid w:val="00462B37"/>
    <w:rsid w:val="004652B3"/>
    <w:rsid w:val="004658D2"/>
    <w:rsid w:val="004668D3"/>
    <w:rsid w:val="00467D45"/>
    <w:rsid w:val="004715BA"/>
    <w:rsid w:val="004719F4"/>
    <w:rsid w:val="00471C5D"/>
    <w:rsid w:val="0047351B"/>
    <w:rsid w:val="00473ADE"/>
    <w:rsid w:val="00473B5B"/>
    <w:rsid w:val="00475946"/>
    <w:rsid w:val="00475F0F"/>
    <w:rsid w:val="00481F95"/>
    <w:rsid w:val="004847B3"/>
    <w:rsid w:val="00485C97"/>
    <w:rsid w:val="004862DE"/>
    <w:rsid w:val="004875DD"/>
    <w:rsid w:val="00487F93"/>
    <w:rsid w:val="004910E4"/>
    <w:rsid w:val="00491198"/>
    <w:rsid w:val="00492B98"/>
    <w:rsid w:val="00493739"/>
    <w:rsid w:val="00493A59"/>
    <w:rsid w:val="00495132"/>
    <w:rsid w:val="004970CD"/>
    <w:rsid w:val="004977A2"/>
    <w:rsid w:val="004A1B73"/>
    <w:rsid w:val="004A1F35"/>
    <w:rsid w:val="004A2C5D"/>
    <w:rsid w:val="004A334D"/>
    <w:rsid w:val="004A4089"/>
    <w:rsid w:val="004A5B6F"/>
    <w:rsid w:val="004B0446"/>
    <w:rsid w:val="004B1C55"/>
    <w:rsid w:val="004B25FE"/>
    <w:rsid w:val="004B2B4B"/>
    <w:rsid w:val="004B47D3"/>
    <w:rsid w:val="004C0BF6"/>
    <w:rsid w:val="004C3DE6"/>
    <w:rsid w:val="004C3EE5"/>
    <w:rsid w:val="004C4F63"/>
    <w:rsid w:val="004C5DB2"/>
    <w:rsid w:val="004C5FF8"/>
    <w:rsid w:val="004C662D"/>
    <w:rsid w:val="004C7587"/>
    <w:rsid w:val="004C7ABA"/>
    <w:rsid w:val="004D0E78"/>
    <w:rsid w:val="004D1497"/>
    <w:rsid w:val="004D5332"/>
    <w:rsid w:val="004D6FB9"/>
    <w:rsid w:val="004D7424"/>
    <w:rsid w:val="004E3464"/>
    <w:rsid w:val="004E3F68"/>
    <w:rsid w:val="004E3FEB"/>
    <w:rsid w:val="004E7E09"/>
    <w:rsid w:val="004F0694"/>
    <w:rsid w:val="004F09CF"/>
    <w:rsid w:val="004F1496"/>
    <w:rsid w:val="004F3002"/>
    <w:rsid w:val="004F3251"/>
    <w:rsid w:val="004F3B62"/>
    <w:rsid w:val="004F3B82"/>
    <w:rsid w:val="004F4F18"/>
    <w:rsid w:val="004F4F55"/>
    <w:rsid w:val="00500DD7"/>
    <w:rsid w:val="0050202B"/>
    <w:rsid w:val="005021C9"/>
    <w:rsid w:val="005034A5"/>
    <w:rsid w:val="005054CD"/>
    <w:rsid w:val="00505DCD"/>
    <w:rsid w:val="00512368"/>
    <w:rsid w:val="005128C3"/>
    <w:rsid w:val="00513EE7"/>
    <w:rsid w:val="00516CE7"/>
    <w:rsid w:val="00523681"/>
    <w:rsid w:val="00524E73"/>
    <w:rsid w:val="005252E2"/>
    <w:rsid w:val="005258F7"/>
    <w:rsid w:val="00525D93"/>
    <w:rsid w:val="00527FDF"/>
    <w:rsid w:val="0053231A"/>
    <w:rsid w:val="00532408"/>
    <w:rsid w:val="0053310D"/>
    <w:rsid w:val="00533EDC"/>
    <w:rsid w:val="00535099"/>
    <w:rsid w:val="005376F2"/>
    <w:rsid w:val="00540006"/>
    <w:rsid w:val="00541E09"/>
    <w:rsid w:val="00542CDC"/>
    <w:rsid w:val="005430EE"/>
    <w:rsid w:val="00544583"/>
    <w:rsid w:val="00544BA8"/>
    <w:rsid w:val="00546815"/>
    <w:rsid w:val="00550C12"/>
    <w:rsid w:val="0055204D"/>
    <w:rsid w:val="00552840"/>
    <w:rsid w:val="0055494D"/>
    <w:rsid w:val="00555D78"/>
    <w:rsid w:val="00562A09"/>
    <w:rsid w:val="00563494"/>
    <w:rsid w:val="005668F5"/>
    <w:rsid w:val="00570CB9"/>
    <w:rsid w:val="00571345"/>
    <w:rsid w:val="005727D8"/>
    <w:rsid w:val="00573317"/>
    <w:rsid w:val="0057418B"/>
    <w:rsid w:val="00576503"/>
    <w:rsid w:val="00577C3A"/>
    <w:rsid w:val="0058104C"/>
    <w:rsid w:val="00583A95"/>
    <w:rsid w:val="005847DE"/>
    <w:rsid w:val="00584C33"/>
    <w:rsid w:val="005862AF"/>
    <w:rsid w:val="00586BF2"/>
    <w:rsid w:val="00592438"/>
    <w:rsid w:val="005926B8"/>
    <w:rsid w:val="00593572"/>
    <w:rsid w:val="00594C59"/>
    <w:rsid w:val="0059561E"/>
    <w:rsid w:val="005973D9"/>
    <w:rsid w:val="005975D5"/>
    <w:rsid w:val="005A23A4"/>
    <w:rsid w:val="005A27FA"/>
    <w:rsid w:val="005A4114"/>
    <w:rsid w:val="005A560C"/>
    <w:rsid w:val="005A69E8"/>
    <w:rsid w:val="005B4F3E"/>
    <w:rsid w:val="005B510C"/>
    <w:rsid w:val="005B60C8"/>
    <w:rsid w:val="005B64FD"/>
    <w:rsid w:val="005B6C14"/>
    <w:rsid w:val="005B7BC3"/>
    <w:rsid w:val="005C23E5"/>
    <w:rsid w:val="005C2B92"/>
    <w:rsid w:val="005C33B9"/>
    <w:rsid w:val="005C47B6"/>
    <w:rsid w:val="005C4E58"/>
    <w:rsid w:val="005C653D"/>
    <w:rsid w:val="005C6970"/>
    <w:rsid w:val="005C7D13"/>
    <w:rsid w:val="005D0AC4"/>
    <w:rsid w:val="005D157A"/>
    <w:rsid w:val="005D1671"/>
    <w:rsid w:val="005D2EC3"/>
    <w:rsid w:val="005D2FB8"/>
    <w:rsid w:val="005D449E"/>
    <w:rsid w:val="005D459F"/>
    <w:rsid w:val="005D4664"/>
    <w:rsid w:val="005D542D"/>
    <w:rsid w:val="005D6FB3"/>
    <w:rsid w:val="005E10BC"/>
    <w:rsid w:val="005E11FC"/>
    <w:rsid w:val="005E2528"/>
    <w:rsid w:val="005E29EE"/>
    <w:rsid w:val="005E3B37"/>
    <w:rsid w:val="005E3B4D"/>
    <w:rsid w:val="005E40F6"/>
    <w:rsid w:val="005E45A1"/>
    <w:rsid w:val="005E45CB"/>
    <w:rsid w:val="005E4D89"/>
    <w:rsid w:val="005E610E"/>
    <w:rsid w:val="005E7862"/>
    <w:rsid w:val="005F11A0"/>
    <w:rsid w:val="005F20E3"/>
    <w:rsid w:val="005F2489"/>
    <w:rsid w:val="005F2572"/>
    <w:rsid w:val="005F2AE5"/>
    <w:rsid w:val="005F4275"/>
    <w:rsid w:val="005F4BD0"/>
    <w:rsid w:val="005F5663"/>
    <w:rsid w:val="005F5E7C"/>
    <w:rsid w:val="005F6DC7"/>
    <w:rsid w:val="005F7A2C"/>
    <w:rsid w:val="00600EAC"/>
    <w:rsid w:val="00602EFD"/>
    <w:rsid w:val="00603701"/>
    <w:rsid w:val="006049EB"/>
    <w:rsid w:val="00605A82"/>
    <w:rsid w:val="00606520"/>
    <w:rsid w:val="00612910"/>
    <w:rsid w:val="006139F6"/>
    <w:rsid w:val="00615091"/>
    <w:rsid w:val="00615647"/>
    <w:rsid w:val="006157B8"/>
    <w:rsid w:val="006207A9"/>
    <w:rsid w:val="00621851"/>
    <w:rsid w:val="006224CD"/>
    <w:rsid w:val="006245BF"/>
    <w:rsid w:val="00625541"/>
    <w:rsid w:val="00626077"/>
    <w:rsid w:val="00626C9B"/>
    <w:rsid w:val="00626CF2"/>
    <w:rsid w:val="00627F1A"/>
    <w:rsid w:val="0063055B"/>
    <w:rsid w:val="0063162C"/>
    <w:rsid w:val="00635306"/>
    <w:rsid w:val="0063567C"/>
    <w:rsid w:val="00636C6F"/>
    <w:rsid w:val="00640987"/>
    <w:rsid w:val="00640BA1"/>
    <w:rsid w:val="0064419D"/>
    <w:rsid w:val="00644B9B"/>
    <w:rsid w:val="00645127"/>
    <w:rsid w:val="006504C8"/>
    <w:rsid w:val="00650FC6"/>
    <w:rsid w:val="00651E46"/>
    <w:rsid w:val="00652212"/>
    <w:rsid w:val="0065374E"/>
    <w:rsid w:val="00655AB9"/>
    <w:rsid w:val="00660343"/>
    <w:rsid w:val="00660478"/>
    <w:rsid w:val="006613D3"/>
    <w:rsid w:val="00661546"/>
    <w:rsid w:val="00661ACC"/>
    <w:rsid w:val="0066331E"/>
    <w:rsid w:val="00666E50"/>
    <w:rsid w:val="00667CE2"/>
    <w:rsid w:val="006708AC"/>
    <w:rsid w:val="00670F3E"/>
    <w:rsid w:val="00672DF2"/>
    <w:rsid w:val="006757A3"/>
    <w:rsid w:val="0068358A"/>
    <w:rsid w:val="00684B69"/>
    <w:rsid w:val="00686FA7"/>
    <w:rsid w:val="006870FF"/>
    <w:rsid w:val="0068765E"/>
    <w:rsid w:val="0068798B"/>
    <w:rsid w:val="00690F7F"/>
    <w:rsid w:val="00692874"/>
    <w:rsid w:val="00692C13"/>
    <w:rsid w:val="006938E7"/>
    <w:rsid w:val="0069451E"/>
    <w:rsid w:val="00694729"/>
    <w:rsid w:val="0069705E"/>
    <w:rsid w:val="00697BEC"/>
    <w:rsid w:val="006A2B61"/>
    <w:rsid w:val="006A3805"/>
    <w:rsid w:val="006A3B02"/>
    <w:rsid w:val="006A3E3E"/>
    <w:rsid w:val="006A509E"/>
    <w:rsid w:val="006A5ACB"/>
    <w:rsid w:val="006A5D25"/>
    <w:rsid w:val="006A6BED"/>
    <w:rsid w:val="006A711B"/>
    <w:rsid w:val="006A7DB0"/>
    <w:rsid w:val="006A7FAC"/>
    <w:rsid w:val="006B3AEA"/>
    <w:rsid w:val="006B7D11"/>
    <w:rsid w:val="006C0AFF"/>
    <w:rsid w:val="006C0B64"/>
    <w:rsid w:val="006C2F23"/>
    <w:rsid w:val="006C3339"/>
    <w:rsid w:val="006C4AB3"/>
    <w:rsid w:val="006C6D3A"/>
    <w:rsid w:val="006C721F"/>
    <w:rsid w:val="006D05FD"/>
    <w:rsid w:val="006D0622"/>
    <w:rsid w:val="006D1C60"/>
    <w:rsid w:val="006D1CA2"/>
    <w:rsid w:val="006D2D87"/>
    <w:rsid w:val="006E0313"/>
    <w:rsid w:val="006E0687"/>
    <w:rsid w:val="006E1B3B"/>
    <w:rsid w:val="006E2BFD"/>
    <w:rsid w:val="006E2D2C"/>
    <w:rsid w:val="006E51BF"/>
    <w:rsid w:val="006E6937"/>
    <w:rsid w:val="006F2482"/>
    <w:rsid w:val="006F32F9"/>
    <w:rsid w:val="006F55B2"/>
    <w:rsid w:val="00701C7D"/>
    <w:rsid w:val="00702A7E"/>
    <w:rsid w:val="00702F54"/>
    <w:rsid w:val="007062A6"/>
    <w:rsid w:val="00707D84"/>
    <w:rsid w:val="00707EAF"/>
    <w:rsid w:val="00710C05"/>
    <w:rsid w:val="00712D84"/>
    <w:rsid w:val="00713BF9"/>
    <w:rsid w:val="007149E3"/>
    <w:rsid w:val="00714B4C"/>
    <w:rsid w:val="00715D81"/>
    <w:rsid w:val="00716C46"/>
    <w:rsid w:val="00717BAB"/>
    <w:rsid w:val="00721739"/>
    <w:rsid w:val="007232EE"/>
    <w:rsid w:val="00723386"/>
    <w:rsid w:val="007239AC"/>
    <w:rsid w:val="0072430A"/>
    <w:rsid w:val="0072491C"/>
    <w:rsid w:val="00725874"/>
    <w:rsid w:val="00725EB0"/>
    <w:rsid w:val="00726AE0"/>
    <w:rsid w:val="00727499"/>
    <w:rsid w:val="00727D42"/>
    <w:rsid w:val="00732188"/>
    <w:rsid w:val="00732952"/>
    <w:rsid w:val="00734823"/>
    <w:rsid w:val="00735B44"/>
    <w:rsid w:val="00736766"/>
    <w:rsid w:val="00740F69"/>
    <w:rsid w:val="00741721"/>
    <w:rsid w:val="00741BC4"/>
    <w:rsid w:val="007421C2"/>
    <w:rsid w:val="0074603F"/>
    <w:rsid w:val="00750089"/>
    <w:rsid w:val="007535CE"/>
    <w:rsid w:val="0075467F"/>
    <w:rsid w:val="00754F89"/>
    <w:rsid w:val="00757ADF"/>
    <w:rsid w:val="0076057F"/>
    <w:rsid w:val="007628D7"/>
    <w:rsid w:val="00763E5F"/>
    <w:rsid w:val="007654D5"/>
    <w:rsid w:val="0076675F"/>
    <w:rsid w:val="0077018F"/>
    <w:rsid w:val="0077237F"/>
    <w:rsid w:val="00772452"/>
    <w:rsid w:val="007728FA"/>
    <w:rsid w:val="00772B94"/>
    <w:rsid w:val="007738A8"/>
    <w:rsid w:val="007753A9"/>
    <w:rsid w:val="0077572D"/>
    <w:rsid w:val="007761FA"/>
    <w:rsid w:val="00777245"/>
    <w:rsid w:val="00780B36"/>
    <w:rsid w:val="00786172"/>
    <w:rsid w:val="00790718"/>
    <w:rsid w:val="00791BAF"/>
    <w:rsid w:val="0079433E"/>
    <w:rsid w:val="0079585E"/>
    <w:rsid w:val="00796A87"/>
    <w:rsid w:val="00796F9F"/>
    <w:rsid w:val="007A1CB8"/>
    <w:rsid w:val="007A32C7"/>
    <w:rsid w:val="007A47A9"/>
    <w:rsid w:val="007A4EAB"/>
    <w:rsid w:val="007A53A7"/>
    <w:rsid w:val="007A56EE"/>
    <w:rsid w:val="007A5D3E"/>
    <w:rsid w:val="007A5F8A"/>
    <w:rsid w:val="007A77C3"/>
    <w:rsid w:val="007B11E9"/>
    <w:rsid w:val="007B2532"/>
    <w:rsid w:val="007B2D5A"/>
    <w:rsid w:val="007B3D5D"/>
    <w:rsid w:val="007B4046"/>
    <w:rsid w:val="007B42DB"/>
    <w:rsid w:val="007B557E"/>
    <w:rsid w:val="007C3A39"/>
    <w:rsid w:val="007C6D89"/>
    <w:rsid w:val="007D1596"/>
    <w:rsid w:val="007D26C1"/>
    <w:rsid w:val="007D40C1"/>
    <w:rsid w:val="007D5393"/>
    <w:rsid w:val="007D6344"/>
    <w:rsid w:val="007E0020"/>
    <w:rsid w:val="007E1682"/>
    <w:rsid w:val="007E342B"/>
    <w:rsid w:val="007E568B"/>
    <w:rsid w:val="007E6217"/>
    <w:rsid w:val="007F4B43"/>
    <w:rsid w:val="007F6ECA"/>
    <w:rsid w:val="00800019"/>
    <w:rsid w:val="008008C2"/>
    <w:rsid w:val="00801FC6"/>
    <w:rsid w:val="00803B3C"/>
    <w:rsid w:val="00805715"/>
    <w:rsid w:val="008072AA"/>
    <w:rsid w:val="0080742B"/>
    <w:rsid w:val="00807681"/>
    <w:rsid w:val="00810B7C"/>
    <w:rsid w:val="00810DCB"/>
    <w:rsid w:val="008139AE"/>
    <w:rsid w:val="00814A96"/>
    <w:rsid w:val="00815320"/>
    <w:rsid w:val="00815B4A"/>
    <w:rsid w:val="00815D3A"/>
    <w:rsid w:val="00821B91"/>
    <w:rsid w:val="00823172"/>
    <w:rsid w:val="0083051A"/>
    <w:rsid w:val="008315D2"/>
    <w:rsid w:val="008316FB"/>
    <w:rsid w:val="0083291B"/>
    <w:rsid w:val="00833711"/>
    <w:rsid w:val="008344FE"/>
    <w:rsid w:val="008371F2"/>
    <w:rsid w:val="00840825"/>
    <w:rsid w:val="00840BEF"/>
    <w:rsid w:val="00841486"/>
    <w:rsid w:val="00841E41"/>
    <w:rsid w:val="00841F0C"/>
    <w:rsid w:val="008479C4"/>
    <w:rsid w:val="00851957"/>
    <w:rsid w:val="00852258"/>
    <w:rsid w:val="00855AB6"/>
    <w:rsid w:val="0085623E"/>
    <w:rsid w:val="008579CF"/>
    <w:rsid w:val="008602BE"/>
    <w:rsid w:val="008604BD"/>
    <w:rsid w:val="0086169F"/>
    <w:rsid w:val="0086254D"/>
    <w:rsid w:val="0086547A"/>
    <w:rsid w:val="00865FF2"/>
    <w:rsid w:val="008677E8"/>
    <w:rsid w:val="00867A9C"/>
    <w:rsid w:val="00872062"/>
    <w:rsid w:val="00873452"/>
    <w:rsid w:val="00873E12"/>
    <w:rsid w:val="008747EB"/>
    <w:rsid w:val="0087548C"/>
    <w:rsid w:val="00880553"/>
    <w:rsid w:val="008812F5"/>
    <w:rsid w:val="00881931"/>
    <w:rsid w:val="00882C70"/>
    <w:rsid w:val="0088571B"/>
    <w:rsid w:val="00886941"/>
    <w:rsid w:val="00887062"/>
    <w:rsid w:val="00891E37"/>
    <w:rsid w:val="0089345A"/>
    <w:rsid w:val="008970C3"/>
    <w:rsid w:val="008975E5"/>
    <w:rsid w:val="00897A6C"/>
    <w:rsid w:val="008A01C3"/>
    <w:rsid w:val="008A131F"/>
    <w:rsid w:val="008A1C0A"/>
    <w:rsid w:val="008A2640"/>
    <w:rsid w:val="008A2E78"/>
    <w:rsid w:val="008A53C5"/>
    <w:rsid w:val="008A593F"/>
    <w:rsid w:val="008A712D"/>
    <w:rsid w:val="008B21C7"/>
    <w:rsid w:val="008B3B53"/>
    <w:rsid w:val="008B3EC2"/>
    <w:rsid w:val="008B6571"/>
    <w:rsid w:val="008B72AA"/>
    <w:rsid w:val="008B74DD"/>
    <w:rsid w:val="008B7670"/>
    <w:rsid w:val="008C0332"/>
    <w:rsid w:val="008C094F"/>
    <w:rsid w:val="008C249D"/>
    <w:rsid w:val="008C2A4B"/>
    <w:rsid w:val="008C31A7"/>
    <w:rsid w:val="008C40D9"/>
    <w:rsid w:val="008C4957"/>
    <w:rsid w:val="008C55F3"/>
    <w:rsid w:val="008D055B"/>
    <w:rsid w:val="008D15CB"/>
    <w:rsid w:val="008D2804"/>
    <w:rsid w:val="008D2972"/>
    <w:rsid w:val="008D35F0"/>
    <w:rsid w:val="008D39C0"/>
    <w:rsid w:val="008D42F6"/>
    <w:rsid w:val="008D567D"/>
    <w:rsid w:val="008D686B"/>
    <w:rsid w:val="008D70EF"/>
    <w:rsid w:val="008D7AD6"/>
    <w:rsid w:val="008E21CB"/>
    <w:rsid w:val="008E54A5"/>
    <w:rsid w:val="008E57A4"/>
    <w:rsid w:val="008E757E"/>
    <w:rsid w:val="008F1710"/>
    <w:rsid w:val="008F492E"/>
    <w:rsid w:val="008F4F51"/>
    <w:rsid w:val="008F7EAB"/>
    <w:rsid w:val="009005B0"/>
    <w:rsid w:val="00901C71"/>
    <w:rsid w:val="00902ED1"/>
    <w:rsid w:val="00903DA4"/>
    <w:rsid w:val="0090507D"/>
    <w:rsid w:val="00905AF9"/>
    <w:rsid w:val="0090735B"/>
    <w:rsid w:val="009078CC"/>
    <w:rsid w:val="00907D1C"/>
    <w:rsid w:val="0091285E"/>
    <w:rsid w:val="00914599"/>
    <w:rsid w:val="009147CA"/>
    <w:rsid w:val="009158CE"/>
    <w:rsid w:val="00917DE8"/>
    <w:rsid w:val="0092395E"/>
    <w:rsid w:val="00923F28"/>
    <w:rsid w:val="0092436F"/>
    <w:rsid w:val="009248A2"/>
    <w:rsid w:val="00924E80"/>
    <w:rsid w:val="00926A68"/>
    <w:rsid w:val="00926AB3"/>
    <w:rsid w:val="009308BD"/>
    <w:rsid w:val="00930F3B"/>
    <w:rsid w:val="00931296"/>
    <w:rsid w:val="0093207B"/>
    <w:rsid w:val="00932E49"/>
    <w:rsid w:val="00932E54"/>
    <w:rsid w:val="00933558"/>
    <w:rsid w:val="009348AB"/>
    <w:rsid w:val="00934E02"/>
    <w:rsid w:val="00936726"/>
    <w:rsid w:val="00937AF4"/>
    <w:rsid w:val="0094175A"/>
    <w:rsid w:val="009461F6"/>
    <w:rsid w:val="009463F2"/>
    <w:rsid w:val="009501D3"/>
    <w:rsid w:val="00951272"/>
    <w:rsid w:val="00951A90"/>
    <w:rsid w:val="00951FBF"/>
    <w:rsid w:val="009529C8"/>
    <w:rsid w:val="009533AE"/>
    <w:rsid w:val="0095585F"/>
    <w:rsid w:val="00955B64"/>
    <w:rsid w:val="00960BBB"/>
    <w:rsid w:val="00963677"/>
    <w:rsid w:val="0096420E"/>
    <w:rsid w:val="009654E9"/>
    <w:rsid w:val="00965C7F"/>
    <w:rsid w:val="00970DB0"/>
    <w:rsid w:val="00971528"/>
    <w:rsid w:val="00971903"/>
    <w:rsid w:val="00971E6F"/>
    <w:rsid w:val="009739D0"/>
    <w:rsid w:val="009747FB"/>
    <w:rsid w:val="00974A4C"/>
    <w:rsid w:val="009750B3"/>
    <w:rsid w:val="00976F0F"/>
    <w:rsid w:val="00981E3A"/>
    <w:rsid w:val="0098274F"/>
    <w:rsid w:val="00982CC8"/>
    <w:rsid w:val="00984320"/>
    <w:rsid w:val="0098611F"/>
    <w:rsid w:val="00987C37"/>
    <w:rsid w:val="009902DD"/>
    <w:rsid w:val="00990920"/>
    <w:rsid w:val="009959C4"/>
    <w:rsid w:val="00997DEA"/>
    <w:rsid w:val="009A09C9"/>
    <w:rsid w:val="009A3B4F"/>
    <w:rsid w:val="009A4A9A"/>
    <w:rsid w:val="009A7276"/>
    <w:rsid w:val="009A792A"/>
    <w:rsid w:val="009B1934"/>
    <w:rsid w:val="009B5220"/>
    <w:rsid w:val="009B64AA"/>
    <w:rsid w:val="009B7B72"/>
    <w:rsid w:val="009C067A"/>
    <w:rsid w:val="009C1F50"/>
    <w:rsid w:val="009C2D4E"/>
    <w:rsid w:val="009C4982"/>
    <w:rsid w:val="009D023E"/>
    <w:rsid w:val="009D067D"/>
    <w:rsid w:val="009D17C0"/>
    <w:rsid w:val="009D19EC"/>
    <w:rsid w:val="009D4CE8"/>
    <w:rsid w:val="009D50C8"/>
    <w:rsid w:val="009D521F"/>
    <w:rsid w:val="009D76F8"/>
    <w:rsid w:val="009D7A2A"/>
    <w:rsid w:val="009E0558"/>
    <w:rsid w:val="009E0B49"/>
    <w:rsid w:val="009E4692"/>
    <w:rsid w:val="009E6001"/>
    <w:rsid w:val="009E67DE"/>
    <w:rsid w:val="009E74BE"/>
    <w:rsid w:val="009F004E"/>
    <w:rsid w:val="009F01D2"/>
    <w:rsid w:val="009F55E0"/>
    <w:rsid w:val="009F5887"/>
    <w:rsid w:val="009F5E65"/>
    <w:rsid w:val="009F5FF0"/>
    <w:rsid w:val="00A00E72"/>
    <w:rsid w:val="00A01569"/>
    <w:rsid w:val="00A02F43"/>
    <w:rsid w:val="00A07738"/>
    <w:rsid w:val="00A175D2"/>
    <w:rsid w:val="00A20AEE"/>
    <w:rsid w:val="00A21145"/>
    <w:rsid w:val="00A22669"/>
    <w:rsid w:val="00A22DFE"/>
    <w:rsid w:val="00A2325E"/>
    <w:rsid w:val="00A23F2F"/>
    <w:rsid w:val="00A2592B"/>
    <w:rsid w:val="00A26F40"/>
    <w:rsid w:val="00A34019"/>
    <w:rsid w:val="00A34A18"/>
    <w:rsid w:val="00A355F6"/>
    <w:rsid w:val="00A36505"/>
    <w:rsid w:val="00A411F9"/>
    <w:rsid w:val="00A42233"/>
    <w:rsid w:val="00A44657"/>
    <w:rsid w:val="00A45E1F"/>
    <w:rsid w:val="00A54152"/>
    <w:rsid w:val="00A56A62"/>
    <w:rsid w:val="00A57DF8"/>
    <w:rsid w:val="00A609F2"/>
    <w:rsid w:val="00A62F5D"/>
    <w:rsid w:val="00A6390F"/>
    <w:rsid w:val="00A6477C"/>
    <w:rsid w:val="00A65EC0"/>
    <w:rsid w:val="00A65FC1"/>
    <w:rsid w:val="00A66715"/>
    <w:rsid w:val="00A67DDB"/>
    <w:rsid w:val="00A748F9"/>
    <w:rsid w:val="00A77BEF"/>
    <w:rsid w:val="00A77DA5"/>
    <w:rsid w:val="00A81C65"/>
    <w:rsid w:val="00A82964"/>
    <w:rsid w:val="00A83A47"/>
    <w:rsid w:val="00A855B3"/>
    <w:rsid w:val="00A86F88"/>
    <w:rsid w:val="00A8712A"/>
    <w:rsid w:val="00A909F2"/>
    <w:rsid w:val="00A90A80"/>
    <w:rsid w:val="00A917C0"/>
    <w:rsid w:val="00A94AA0"/>
    <w:rsid w:val="00A9570F"/>
    <w:rsid w:val="00AA026F"/>
    <w:rsid w:val="00AA04F1"/>
    <w:rsid w:val="00AA3A6D"/>
    <w:rsid w:val="00AA4561"/>
    <w:rsid w:val="00AA4F13"/>
    <w:rsid w:val="00AA5FA8"/>
    <w:rsid w:val="00AA76B4"/>
    <w:rsid w:val="00AB1CCE"/>
    <w:rsid w:val="00AB366F"/>
    <w:rsid w:val="00AB7481"/>
    <w:rsid w:val="00AB7E22"/>
    <w:rsid w:val="00AC160F"/>
    <w:rsid w:val="00AC186D"/>
    <w:rsid w:val="00AC40FD"/>
    <w:rsid w:val="00AC4DBC"/>
    <w:rsid w:val="00AC4E71"/>
    <w:rsid w:val="00AC50AC"/>
    <w:rsid w:val="00AC56FC"/>
    <w:rsid w:val="00AD26A0"/>
    <w:rsid w:val="00AD2E12"/>
    <w:rsid w:val="00AD5E76"/>
    <w:rsid w:val="00AE2F3E"/>
    <w:rsid w:val="00AE3461"/>
    <w:rsid w:val="00AE35B9"/>
    <w:rsid w:val="00AE5003"/>
    <w:rsid w:val="00AE5043"/>
    <w:rsid w:val="00AE6765"/>
    <w:rsid w:val="00AE6D6B"/>
    <w:rsid w:val="00AF0E16"/>
    <w:rsid w:val="00AF0E92"/>
    <w:rsid w:val="00AF1FBE"/>
    <w:rsid w:val="00AF2E4D"/>
    <w:rsid w:val="00AF4E30"/>
    <w:rsid w:val="00B00A14"/>
    <w:rsid w:val="00B016DE"/>
    <w:rsid w:val="00B017C4"/>
    <w:rsid w:val="00B023BC"/>
    <w:rsid w:val="00B02DBA"/>
    <w:rsid w:val="00B0578D"/>
    <w:rsid w:val="00B067AC"/>
    <w:rsid w:val="00B069FF"/>
    <w:rsid w:val="00B06DD4"/>
    <w:rsid w:val="00B0710A"/>
    <w:rsid w:val="00B07183"/>
    <w:rsid w:val="00B10EDC"/>
    <w:rsid w:val="00B112FB"/>
    <w:rsid w:val="00B124DC"/>
    <w:rsid w:val="00B1382B"/>
    <w:rsid w:val="00B15620"/>
    <w:rsid w:val="00B16A80"/>
    <w:rsid w:val="00B17A6F"/>
    <w:rsid w:val="00B17F49"/>
    <w:rsid w:val="00B200BB"/>
    <w:rsid w:val="00B212B7"/>
    <w:rsid w:val="00B219CA"/>
    <w:rsid w:val="00B23006"/>
    <w:rsid w:val="00B2431E"/>
    <w:rsid w:val="00B245C1"/>
    <w:rsid w:val="00B27401"/>
    <w:rsid w:val="00B2797D"/>
    <w:rsid w:val="00B30297"/>
    <w:rsid w:val="00B31E59"/>
    <w:rsid w:val="00B33084"/>
    <w:rsid w:val="00B37AB2"/>
    <w:rsid w:val="00B414CB"/>
    <w:rsid w:val="00B43444"/>
    <w:rsid w:val="00B4457E"/>
    <w:rsid w:val="00B445C2"/>
    <w:rsid w:val="00B461A1"/>
    <w:rsid w:val="00B47208"/>
    <w:rsid w:val="00B52591"/>
    <w:rsid w:val="00B529B4"/>
    <w:rsid w:val="00B54916"/>
    <w:rsid w:val="00B54F82"/>
    <w:rsid w:val="00B5615A"/>
    <w:rsid w:val="00B563C9"/>
    <w:rsid w:val="00B6305C"/>
    <w:rsid w:val="00B63265"/>
    <w:rsid w:val="00B63BE7"/>
    <w:rsid w:val="00B7019F"/>
    <w:rsid w:val="00B713C8"/>
    <w:rsid w:val="00B71674"/>
    <w:rsid w:val="00B71884"/>
    <w:rsid w:val="00B71A34"/>
    <w:rsid w:val="00B75996"/>
    <w:rsid w:val="00B75AB2"/>
    <w:rsid w:val="00B75BE7"/>
    <w:rsid w:val="00B75E6A"/>
    <w:rsid w:val="00B76FDD"/>
    <w:rsid w:val="00B771D3"/>
    <w:rsid w:val="00B80163"/>
    <w:rsid w:val="00B82818"/>
    <w:rsid w:val="00B82CE7"/>
    <w:rsid w:val="00B90A4E"/>
    <w:rsid w:val="00B90EDF"/>
    <w:rsid w:val="00B911C9"/>
    <w:rsid w:val="00B912E5"/>
    <w:rsid w:val="00BA17EF"/>
    <w:rsid w:val="00BA21AA"/>
    <w:rsid w:val="00BA30ED"/>
    <w:rsid w:val="00BA52E6"/>
    <w:rsid w:val="00BA5B81"/>
    <w:rsid w:val="00BA6D05"/>
    <w:rsid w:val="00BA6D88"/>
    <w:rsid w:val="00BA6FC2"/>
    <w:rsid w:val="00BB2AE2"/>
    <w:rsid w:val="00BB3430"/>
    <w:rsid w:val="00BB4444"/>
    <w:rsid w:val="00BB4AE4"/>
    <w:rsid w:val="00BB6C39"/>
    <w:rsid w:val="00BC0E22"/>
    <w:rsid w:val="00BC1841"/>
    <w:rsid w:val="00BC1FF9"/>
    <w:rsid w:val="00BC2DFD"/>
    <w:rsid w:val="00BC65F8"/>
    <w:rsid w:val="00BC6A83"/>
    <w:rsid w:val="00BC6E79"/>
    <w:rsid w:val="00BC7B51"/>
    <w:rsid w:val="00BD0137"/>
    <w:rsid w:val="00BD0952"/>
    <w:rsid w:val="00BD18E2"/>
    <w:rsid w:val="00BD1B08"/>
    <w:rsid w:val="00BD5040"/>
    <w:rsid w:val="00BD571F"/>
    <w:rsid w:val="00BD6530"/>
    <w:rsid w:val="00BD7286"/>
    <w:rsid w:val="00BD73EC"/>
    <w:rsid w:val="00BE0340"/>
    <w:rsid w:val="00BE06CA"/>
    <w:rsid w:val="00BE185B"/>
    <w:rsid w:val="00BE1ADB"/>
    <w:rsid w:val="00BE2C16"/>
    <w:rsid w:val="00BE5192"/>
    <w:rsid w:val="00BE5AF8"/>
    <w:rsid w:val="00BE685F"/>
    <w:rsid w:val="00BE6DB7"/>
    <w:rsid w:val="00BE76E5"/>
    <w:rsid w:val="00BF11D5"/>
    <w:rsid w:val="00BF272B"/>
    <w:rsid w:val="00BF2C85"/>
    <w:rsid w:val="00BF3194"/>
    <w:rsid w:val="00BF6A16"/>
    <w:rsid w:val="00C00017"/>
    <w:rsid w:val="00C06322"/>
    <w:rsid w:val="00C069CB"/>
    <w:rsid w:val="00C112C4"/>
    <w:rsid w:val="00C13A98"/>
    <w:rsid w:val="00C14757"/>
    <w:rsid w:val="00C1538D"/>
    <w:rsid w:val="00C1648E"/>
    <w:rsid w:val="00C26619"/>
    <w:rsid w:val="00C269EF"/>
    <w:rsid w:val="00C27772"/>
    <w:rsid w:val="00C31280"/>
    <w:rsid w:val="00C31611"/>
    <w:rsid w:val="00C32654"/>
    <w:rsid w:val="00C32840"/>
    <w:rsid w:val="00C32D72"/>
    <w:rsid w:val="00C330BA"/>
    <w:rsid w:val="00C37767"/>
    <w:rsid w:val="00C40530"/>
    <w:rsid w:val="00C414B8"/>
    <w:rsid w:val="00C4316A"/>
    <w:rsid w:val="00C436C5"/>
    <w:rsid w:val="00C45A6C"/>
    <w:rsid w:val="00C4658E"/>
    <w:rsid w:val="00C5064E"/>
    <w:rsid w:val="00C52317"/>
    <w:rsid w:val="00C529DF"/>
    <w:rsid w:val="00C52C74"/>
    <w:rsid w:val="00C5415D"/>
    <w:rsid w:val="00C547DF"/>
    <w:rsid w:val="00C5585B"/>
    <w:rsid w:val="00C57C03"/>
    <w:rsid w:val="00C6103F"/>
    <w:rsid w:val="00C617F3"/>
    <w:rsid w:val="00C6296C"/>
    <w:rsid w:val="00C632C2"/>
    <w:rsid w:val="00C63A90"/>
    <w:rsid w:val="00C63FAE"/>
    <w:rsid w:val="00C6523D"/>
    <w:rsid w:val="00C67C57"/>
    <w:rsid w:val="00C70E5D"/>
    <w:rsid w:val="00C721A3"/>
    <w:rsid w:val="00C745B6"/>
    <w:rsid w:val="00C75525"/>
    <w:rsid w:val="00C77284"/>
    <w:rsid w:val="00C8018B"/>
    <w:rsid w:val="00C815FB"/>
    <w:rsid w:val="00C82365"/>
    <w:rsid w:val="00C83187"/>
    <w:rsid w:val="00C83554"/>
    <w:rsid w:val="00C8387D"/>
    <w:rsid w:val="00C83F79"/>
    <w:rsid w:val="00C8587C"/>
    <w:rsid w:val="00C87783"/>
    <w:rsid w:val="00C93A3E"/>
    <w:rsid w:val="00C94AB6"/>
    <w:rsid w:val="00C94C18"/>
    <w:rsid w:val="00C94EB0"/>
    <w:rsid w:val="00C961B2"/>
    <w:rsid w:val="00C9633E"/>
    <w:rsid w:val="00C97E43"/>
    <w:rsid w:val="00CA1314"/>
    <w:rsid w:val="00CA18C6"/>
    <w:rsid w:val="00CA1CB9"/>
    <w:rsid w:val="00CA21E4"/>
    <w:rsid w:val="00CA32F9"/>
    <w:rsid w:val="00CA4AC7"/>
    <w:rsid w:val="00CA56C6"/>
    <w:rsid w:val="00CA5A5E"/>
    <w:rsid w:val="00CA62D4"/>
    <w:rsid w:val="00CB154D"/>
    <w:rsid w:val="00CB2FB1"/>
    <w:rsid w:val="00CB3FED"/>
    <w:rsid w:val="00CB4059"/>
    <w:rsid w:val="00CB4791"/>
    <w:rsid w:val="00CB4A16"/>
    <w:rsid w:val="00CB4D70"/>
    <w:rsid w:val="00CB5A98"/>
    <w:rsid w:val="00CB5BA4"/>
    <w:rsid w:val="00CB655B"/>
    <w:rsid w:val="00CB73B1"/>
    <w:rsid w:val="00CC33E8"/>
    <w:rsid w:val="00CC3D14"/>
    <w:rsid w:val="00CC4DA8"/>
    <w:rsid w:val="00CC6565"/>
    <w:rsid w:val="00CC6A26"/>
    <w:rsid w:val="00CC6A7D"/>
    <w:rsid w:val="00CC6FC3"/>
    <w:rsid w:val="00CC7FAA"/>
    <w:rsid w:val="00CD26AB"/>
    <w:rsid w:val="00CD343B"/>
    <w:rsid w:val="00CD3C5F"/>
    <w:rsid w:val="00CD5882"/>
    <w:rsid w:val="00CD6DF3"/>
    <w:rsid w:val="00CD7BE5"/>
    <w:rsid w:val="00CE19DD"/>
    <w:rsid w:val="00CE2353"/>
    <w:rsid w:val="00CE2AD9"/>
    <w:rsid w:val="00CE42BC"/>
    <w:rsid w:val="00CE4628"/>
    <w:rsid w:val="00CE527E"/>
    <w:rsid w:val="00CE6293"/>
    <w:rsid w:val="00CE6470"/>
    <w:rsid w:val="00CE70C2"/>
    <w:rsid w:val="00CE76E9"/>
    <w:rsid w:val="00CE77D0"/>
    <w:rsid w:val="00CE7D67"/>
    <w:rsid w:val="00CF28DD"/>
    <w:rsid w:val="00CF3E0C"/>
    <w:rsid w:val="00D014E8"/>
    <w:rsid w:val="00D03044"/>
    <w:rsid w:val="00D033FE"/>
    <w:rsid w:val="00D0375A"/>
    <w:rsid w:val="00D044B6"/>
    <w:rsid w:val="00D053BF"/>
    <w:rsid w:val="00D05402"/>
    <w:rsid w:val="00D06643"/>
    <w:rsid w:val="00D06B02"/>
    <w:rsid w:val="00D06E97"/>
    <w:rsid w:val="00D073BA"/>
    <w:rsid w:val="00D079C8"/>
    <w:rsid w:val="00D07DA8"/>
    <w:rsid w:val="00D1038E"/>
    <w:rsid w:val="00D12316"/>
    <w:rsid w:val="00D12A7F"/>
    <w:rsid w:val="00D13FC8"/>
    <w:rsid w:val="00D14A2A"/>
    <w:rsid w:val="00D14A49"/>
    <w:rsid w:val="00D16434"/>
    <w:rsid w:val="00D17027"/>
    <w:rsid w:val="00D20425"/>
    <w:rsid w:val="00D21EA3"/>
    <w:rsid w:val="00D22E3D"/>
    <w:rsid w:val="00D24033"/>
    <w:rsid w:val="00D2414C"/>
    <w:rsid w:val="00D25830"/>
    <w:rsid w:val="00D259B2"/>
    <w:rsid w:val="00D26E2B"/>
    <w:rsid w:val="00D301B7"/>
    <w:rsid w:val="00D32287"/>
    <w:rsid w:val="00D33BDE"/>
    <w:rsid w:val="00D34297"/>
    <w:rsid w:val="00D362E3"/>
    <w:rsid w:val="00D364A5"/>
    <w:rsid w:val="00D403FE"/>
    <w:rsid w:val="00D40AFB"/>
    <w:rsid w:val="00D41293"/>
    <w:rsid w:val="00D435F6"/>
    <w:rsid w:val="00D43769"/>
    <w:rsid w:val="00D437C4"/>
    <w:rsid w:val="00D43FE5"/>
    <w:rsid w:val="00D44824"/>
    <w:rsid w:val="00D4511F"/>
    <w:rsid w:val="00D4552E"/>
    <w:rsid w:val="00D45A30"/>
    <w:rsid w:val="00D46837"/>
    <w:rsid w:val="00D53BEF"/>
    <w:rsid w:val="00D54033"/>
    <w:rsid w:val="00D56CFB"/>
    <w:rsid w:val="00D65CA0"/>
    <w:rsid w:val="00D65CD1"/>
    <w:rsid w:val="00D71878"/>
    <w:rsid w:val="00D72FFD"/>
    <w:rsid w:val="00D73053"/>
    <w:rsid w:val="00D731EB"/>
    <w:rsid w:val="00D73BCE"/>
    <w:rsid w:val="00D748D9"/>
    <w:rsid w:val="00D75884"/>
    <w:rsid w:val="00D77BD4"/>
    <w:rsid w:val="00D8066D"/>
    <w:rsid w:val="00D82983"/>
    <w:rsid w:val="00D82EFD"/>
    <w:rsid w:val="00D83A7F"/>
    <w:rsid w:val="00D83DA8"/>
    <w:rsid w:val="00D9105E"/>
    <w:rsid w:val="00D91BBE"/>
    <w:rsid w:val="00D93E61"/>
    <w:rsid w:val="00D979FA"/>
    <w:rsid w:val="00DA13A9"/>
    <w:rsid w:val="00DA1501"/>
    <w:rsid w:val="00DA2EB4"/>
    <w:rsid w:val="00DA3930"/>
    <w:rsid w:val="00DA5098"/>
    <w:rsid w:val="00DA5B07"/>
    <w:rsid w:val="00DB230C"/>
    <w:rsid w:val="00DB2E4D"/>
    <w:rsid w:val="00DB3BBE"/>
    <w:rsid w:val="00DB3FE2"/>
    <w:rsid w:val="00DB47BC"/>
    <w:rsid w:val="00DB4958"/>
    <w:rsid w:val="00DB5093"/>
    <w:rsid w:val="00DB5814"/>
    <w:rsid w:val="00DB5CA7"/>
    <w:rsid w:val="00DB614E"/>
    <w:rsid w:val="00DB7577"/>
    <w:rsid w:val="00DB78B6"/>
    <w:rsid w:val="00DC74CB"/>
    <w:rsid w:val="00DC7AF6"/>
    <w:rsid w:val="00DD071B"/>
    <w:rsid w:val="00DD186D"/>
    <w:rsid w:val="00DD45E3"/>
    <w:rsid w:val="00DD64E2"/>
    <w:rsid w:val="00DE0FA5"/>
    <w:rsid w:val="00DE63D1"/>
    <w:rsid w:val="00DE6D8D"/>
    <w:rsid w:val="00DE71DC"/>
    <w:rsid w:val="00DE7C12"/>
    <w:rsid w:val="00DE7E73"/>
    <w:rsid w:val="00DF193F"/>
    <w:rsid w:val="00DF21EE"/>
    <w:rsid w:val="00DF3400"/>
    <w:rsid w:val="00DF52F6"/>
    <w:rsid w:val="00DF7D33"/>
    <w:rsid w:val="00DF7F29"/>
    <w:rsid w:val="00E0032E"/>
    <w:rsid w:val="00E00A22"/>
    <w:rsid w:val="00E0169D"/>
    <w:rsid w:val="00E048F6"/>
    <w:rsid w:val="00E05175"/>
    <w:rsid w:val="00E0632B"/>
    <w:rsid w:val="00E06573"/>
    <w:rsid w:val="00E10354"/>
    <w:rsid w:val="00E10401"/>
    <w:rsid w:val="00E104A9"/>
    <w:rsid w:val="00E108BB"/>
    <w:rsid w:val="00E11449"/>
    <w:rsid w:val="00E13CA4"/>
    <w:rsid w:val="00E13E75"/>
    <w:rsid w:val="00E14521"/>
    <w:rsid w:val="00E14553"/>
    <w:rsid w:val="00E14842"/>
    <w:rsid w:val="00E178DE"/>
    <w:rsid w:val="00E17F21"/>
    <w:rsid w:val="00E20D5B"/>
    <w:rsid w:val="00E21001"/>
    <w:rsid w:val="00E21CD1"/>
    <w:rsid w:val="00E223B5"/>
    <w:rsid w:val="00E24B8F"/>
    <w:rsid w:val="00E301DD"/>
    <w:rsid w:val="00E31B63"/>
    <w:rsid w:val="00E33EA7"/>
    <w:rsid w:val="00E3510F"/>
    <w:rsid w:val="00E35E7E"/>
    <w:rsid w:val="00E360C3"/>
    <w:rsid w:val="00E41A47"/>
    <w:rsid w:val="00E41CEE"/>
    <w:rsid w:val="00E43A18"/>
    <w:rsid w:val="00E50C70"/>
    <w:rsid w:val="00E513CC"/>
    <w:rsid w:val="00E53FF3"/>
    <w:rsid w:val="00E54AB7"/>
    <w:rsid w:val="00E54B44"/>
    <w:rsid w:val="00E603E1"/>
    <w:rsid w:val="00E60867"/>
    <w:rsid w:val="00E62A30"/>
    <w:rsid w:val="00E64CE1"/>
    <w:rsid w:val="00E711FE"/>
    <w:rsid w:val="00E71383"/>
    <w:rsid w:val="00E71DB6"/>
    <w:rsid w:val="00E72238"/>
    <w:rsid w:val="00E724D7"/>
    <w:rsid w:val="00E72DCC"/>
    <w:rsid w:val="00E74510"/>
    <w:rsid w:val="00E7595E"/>
    <w:rsid w:val="00E767A3"/>
    <w:rsid w:val="00E82154"/>
    <w:rsid w:val="00E82C5D"/>
    <w:rsid w:val="00E8553E"/>
    <w:rsid w:val="00E87D02"/>
    <w:rsid w:val="00E90CD3"/>
    <w:rsid w:val="00E92C3B"/>
    <w:rsid w:val="00E93C3C"/>
    <w:rsid w:val="00EA6709"/>
    <w:rsid w:val="00EA73F9"/>
    <w:rsid w:val="00EB2B2E"/>
    <w:rsid w:val="00EB5123"/>
    <w:rsid w:val="00EB5AB4"/>
    <w:rsid w:val="00EB69B8"/>
    <w:rsid w:val="00EC0C0D"/>
    <w:rsid w:val="00EC1377"/>
    <w:rsid w:val="00EC229D"/>
    <w:rsid w:val="00EC5AF6"/>
    <w:rsid w:val="00ED00B6"/>
    <w:rsid w:val="00ED1B7A"/>
    <w:rsid w:val="00ED1EEF"/>
    <w:rsid w:val="00ED41E9"/>
    <w:rsid w:val="00ED6698"/>
    <w:rsid w:val="00EE181F"/>
    <w:rsid w:val="00EE301D"/>
    <w:rsid w:val="00EE5F2C"/>
    <w:rsid w:val="00EE62AA"/>
    <w:rsid w:val="00EE62D5"/>
    <w:rsid w:val="00EF2B82"/>
    <w:rsid w:val="00EF30BD"/>
    <w:rsid w:val="00EF4E34"/>
    <w:rsid w:val="00EF7A03"/>
    <w:rsid w:val="00F00526"/>
    <w:rsid w:val="00F00583"/>
    <w:rsid w:val="00F01D8E"/>
    <w:rsid w:val="00F01EB1"/>
    <w:rsid w:val="00F0228D"/>
    <w:rsid w:val="00F03D94"/>
    <w:rsid w:val="00F05FA5"/>
    <w:rsid w:val="00F078E2"/>
    <w:rsid w:val="00F10D1E"/>
    <w:rsid w:val="00F14527"/>
    <w:rsid w:val="00F147A2"/>
    <w:rsid w:val="00F168F6"/>
    <w:rsid w:val="00F16EA9"/>
    <w:rsid w:val="00F20302"/>
    <w:rsid w:val="00F20BEB"/>
    <w:rsid w:val="00F22F8E"/>
    <w:rsid w:val="00F24B5E"/>
    <w:rsid w:val="00F25EBA"/>
    <w:rsid w:val="00F32382"/>
    <w:rsid w:val="00F33826"/>
    <w:rsid w:val="00F35309"/>
    <w:rsid w:val="00F35632"/>
    <w:rsid w:val="00F35B05"/>
    <w:rsid w:val="00F37B8E"/>
    <w:rsid w:val="00F37C22"/>
    <w:rsid w:val="00F43E03"/>
    <w:rsid w:val="00F453A6"/>
    <w:rsid w:val="00F4626F"/>
    <w:rsid w:val="00F46AB0"/>
    <w:rsid w:val="00F51BF3"/>
    <w:rsid w:val="00F51FC1"/>
    <w:rsid w:val="00F522A7"/>
    <w:rsid w:val="00F556A1"/>
    <w:rsid w:val="00F5578E"/>
    <w:rsid w:val="00F56262"/>
    <w:rsid w:val="00F57118"/>
    <w:rsid w:val="00F57704"/>
    <w:rsid w:val="00F579FA"/>
    <w:rsid w:val="00F57F4F"/>
    <w:rsid w:val="00F6107E"/>
    <w:rsid w:val="00F62794"/>
    <w:rsid w:val="00F6359C"/>
    <w:rsid w:val="00F65904"/>
    <w:rsid w:val="00F66C09"/>
    <w:rsid w:val="00F70014"/>
    <w:rsid w:val="00F7150B"/>
    <w:rsid w:val="00F7237E"/>
    <w:rsid w:val="00F736B3"/>
    <w:rsid w:val="00F81147"/>
    <w:rsid w:val="00F83D2B"/>
    <w:rsid w:val="00F83ED0"/>
    <w:rsid w:val="00F8400B"/>
    <w:rsid w:val="00F87135"/>
    <w:rsid w:val="00F9125B"/>
    <w:rsid w:val="00F920DA"/>
    <w:rsid w:val="00F92848"/>
    <w:rsid w:val="00F937CF"/>
    <w:rsid w:val="00F95454"/>
    <w:rsid w:val="00FA23F5"/>
    <w:rsid w:val="00FB0E05"/>
    <w:rsid w:val="00FB2AB3"/>
    <w:rsid w:val="00FB5F20"/>
    <w:rsid w:val="00FB6A4C"/>
    <w:rsid w:val="00FC0B2B"/>
    <w:rsid w:val="00FC0EF7"/>
    <w:rsid w:val="00FC1006"/>
    <w:rsid w:val="00FC1077"/>
    <w:rsid w:val="00FC11C1"/>
    <w:rsid w:val="00FC1CAA"/>
    <w:rsid w:val="00FC2B41"/>
    <w:rsid w:val="00FC2F3C"/>
    <w:rsid w:val="00FC41B7"/>
    <w:rsid w:val="00FC5656"/>
    <w:rsid w:val="00FC67DF"/>
    <w:rsid w:val="00FC6EFC"/>
    <w:rsid w:val="00FD1B89"/>
    <w:rsid w:val="00FD1DFB"/>
    <w:rsid w:val="00FD205A"/>
    <w:rsid w:val="00FD37E4"/>
    <w:rsid w:val="00FD3E24"/>
    <w:rsid w:val="00FD45AC"/>
    <w:rsid w:val="00FD5084"/>
    <w:rsid w:val="00FD5ED8"/>
    <w:rsid w:val="00FE041A"/>
    <w:rsid w:val="00FE192A"/>
    <w:rsid w:val="00FE25B9"/>
    <w:rsid w:val="00FE2D29"/>
    <w:rsid w:val="00FE4B7E"/>
    <w:rsid w:val="00FE7C70"/>
    <w:rsid w:val="00FF18BA"/>
    <w:rsid w:val="00FF1F1C"/>
    <w:rsid w:val="00FF252C"/>
    <w:rsid w:val="00FF2BD6"/>
    <w:rsid w:val="00FF6191"/>
    <w:rsid w:val="028D1C67"/>
    <w:rsid w:val="032B51F0"/>
    <w:rsid w:val="04C31C23"/>
    <w:rsid w:val="0568505A"/>
    <w:rsid w:val="059C7552"/>
    <w:rsid w:val="05D33E40"/>
    <w:rsid w:val="061161C3"/>
    <w:rsid w:val="06217026"/>
    <w:rsid w:val="06C823C5"/>
    <w:rsid w:val="071F4910"/>
    <w:rsid w:val="07BF52EF"/>
    <w:rsid w:val="08B25EA3"/>
    <w:rsid w:val="09556B95"/>
    <w:rsid w:val="096A2702"/>
    <w:rsid w:val="0973354A"/>
    <w:rsid w:val="0A29138C"/>
    <w:rsid w:val="0A761433"/>
    <w:rsid w:val="0BB664A4"/>
    <w:rsid w:val="0C9674DF"/>
    <w:rsid w:val="0DEA0525"/>
    <w:rsid w:val="0E7F763B"/>
    <w:rsid w:val="0E83422A"/>
    <w:rsid w:val="0EE051F1"/>
    <w:rsid w:val="0F3D12BD"/>
    <w:rsid w:val="0F51799E"/>
    <w:rsid w:val="0FF4421D"/>
    <w:rsid w:val="10281380"/>
    <w:rsid w:val="104F0EE8"/>
    <w:rsid w:val="11031B1E"/>
    <w:rsid w:val="115256FE"/>
    <w:rsid w:val="11CC1787"/>
    <w:rsid w:val="11CF6916"/>
    <w:rsid w:val="11F250AA"/>
    <w:rsid w:val="12243780"/>
    <w:rsid w:val="123376B5"/>
    <w:rsid w:val="12EB798A"/>
    <w:rsid w:val="13236E5D"/>
    <w:rsid w:val="13705613"/>
    <w:rsid w:val="13812CC7"/>
    <w:rsid w:val="139F11B6"/>
    <w:rsid w:val="15B47FB7"/>
    <w:rsid w:val="16162775"/>
    <w:rsid w:val="16612536"/>
    <w:rsid w:val="16BD459B"/>
    <w:rsid w:val="16BD51B4"/>
    <w:rsid w:val="174060A3"/>
    <w:rsid w:val="17546900"/>
    <w:rsid w:val="19D35B32"/>
    <w:rsid w:val="1BD925B1"/>
    <w:rsid w:val="1CD038E4"/>
    <w:rsid w:val="1D1E58D1"/>
    <w:rsid w:val="1D211BF5"/>
    <w:rsid w:val="1D821640"/>
    <w:rsid w:val="1D997F0C"/>
    <w:rsid w:val="1DA022A7"/>
    <w:rsid w:val="1E137E05"/>
    <w:rsid w:val="1EC02562"/>
    <w:rsid w:val="1F3E068E"/>
    <w:rsid w:val="1F8F5FAF"/>
    <w:rsid w:val="20181936"/>
    <w:rsid w:val="20181CA2"/>
    <w:rsid w:val="205630F0"/>
    <w:rsid w:val="20810BFF"/>
    <w:rsid w:val="209A35F9"/>
    <w:rsid w:val="21167A6C"/>
    <w:rsid w:val="241229D6"/>
    <w:rsid w:val="25031111"/>
    <w:rsid w:val="250C2000"/>
    <w:rsid w:val="25D64A2F"/>
    <w:rsid w:val="265E26F7"/>
    <w:rsid w:val="27295BC9"/>
    <w:rsid w:val="28A31A75"/>
    <w:rsid w:val="29980ADF"/>
    <w:rsid w:val="29C93487"/>
    <w:rsid w:val="2A287083"/>
    <w:rsid w:val="2A425C22"/>
    <w:rsid w:val="2A5E6256"/>
    <w:rsid w:val="2AF84B7E"/>
    <w:rsid w:val="2B533598"/>
    <w:rsid w:val="2C6D00AD"/>
    <w:rsid w:val="2D70787B"/>
    <w:rsid w:val="2DBF5D7B"/>
    <w:rsid w:val="2FEC0528"/>
    <w:rsid w:val="3060244D"/>
    <w:rsid w:val="30E923F3"/>
    <w:rsid w:val="317F49CC"/>
    <w:rsid w:val="3244724D"/>
    <w:rsid w:val="327E6A9E"/>
    <w:rsid w:val="343A581A"/>
    <w:rsid w:val="366E6BC6"/>
    <w:rsid w:val="3691569D"/>
    <w:rsid w:val="37340AFE"/>
    <w:rsid w:val="382A367C"/>
    <w:rsid w:val="38DD48F5"/>
    <w:rsid w:val="392532E4"/>
    <w:rsid w:val="3A1B5AE1"/>
    <w:rsid w:val="3B7010B2"/>
    <w:rsid w:val="3C834189"/>
    <w:rsid w:val="3C8B5270"/>
    <w:rsid w:val="3C940DD1"/>
    <w:rsid w:val="3CCF0C32"/>
    <w:rsid w:val="3CED7D2E"/>
    <w:rsid w:val="3DF97937"/>
    <w:rsid w:val="3DFB147F"/>
    <w:rsid w:val="3ED57EC1"/>
    <w:rsid w:val="3FA673E2"/>
    <w:rsid w:val="404E74D4"/>
    <w:rsid w:val="40CF6DEC"/>
    <w:rsid w:val="40FD481D"/>
    <w:rsid w:val="427A0C41"/>
    <w:rsid w:val="436A4F6E"/>
    <w:rsid w:val="439A0113"/>
    <w:rsid w:val="44630D53"/>
    <w:rsid w:val="467E36DC"/>
    <w:rsid w:val="46C72AC4"/>
    <w:rsid w:val="46D70238"/>
    <w:rsid w:val="473B7769"/>
    <w:rsid w:val="49444FF0"/>
    <w:rsid w:val="49D84566"/>
    <w:rsid w:val="4A9961AC"/>
    <w:rsid w:val="4CCA6F26"/>
    <w:rsid w:val="4D5C723E"/>
    <w:rsid w:val="4DE32459"/>
    <w:rsid w:val="4F510F0A"/>
    <w:rsid w:val="501E718E"/>
    <w:rsid w:val="517F5754"/>
    <w:rsid w:val="52F107B8"/>
    <w:rsid w:val="53194A9E"/>
    <w:rsid w:val="531F1139"/>
    <w:rsid w:val="54415E27"/>
    <w:rsid w:val="54BE47E5"/>
    <w:rsid w:val="54E27D70"/>
    <w:rsid w:val="550611A5"/>
    <w:rsid w:val="551D15FC"/>
    <w:rsid w:val="559A0445"/>
    <w:rsid w:val="56365966"/>
    <w:rsid w:val="570942CD"/>
    <w:rsid w:val="58B5272C"/>
    <w:rsid w:val="59EC4526"/>
    <w:rsid w:val="5A7476F4"/>
    <w:rsid w:val="5AA917FE"/>
    <w:rsid w:val="5B2F7F14"/>
    <w:rsid w:val="5C3408DB"/>
    <w:rsid w:val="5C3D3E73"/>
    <w:rsid w:val="5C8F363D"/>
    <w:rsid w:val="5F8B66B6"/>
    <w:rsid w:val="5FF01DED"/>
    <w:rsid w:val="5FF311B4"/>
    <w:rsid w:val="604B01DD"/>
    <w:rsid w:val="61AD7EF4"/>
    <w:rsid w:val="61F607D9"/>
    <w:rsid w:val="622D3505"/>
    <w:rsid w:val="638B4DF0"/>
    <w:rsid w:val="63923DF6"/>
    <w:rsid w:val="6411447E"/>
    <w:rsid w:val="64384E6C"/>
    <w:rsid w:val="643F0D73"/>
    <w:rsid w:val="64684251"/>
    <w:rsid w:val="64F60999"/>
    <w:rsid w:val="650141B9"/>
    <w:rsid w:val="6543389A"/>
    <w:rsid w:val="65582A92"/>
    <w:rsid w:val="655F349E"/>
    <w:rsid w:val="66DB15B3"/>
    <w:rsid w:val="67384054"/>
    <w:rsid w:val="679E0F69"/>
    <w:rsid w:val="69511271"/>
    <w:rsid w:val="69B432B9"/>
    <w:rsid w:val="6C386013"/>
    <w:rsid w:val="6C4C290A"/>
    <w:rsid w:val="6C693F86"/>
    <w:rsid w:val="6C873F20"/>
    <w:rsid w:val="6CD1290A"/>
    <w:rsid w:val="6D2F0939"/>
    <w:rsid w:val="6E16344A"/>
    <w:rsid w:val="703C77B9"/>
    <w:rsid w:val="726D1B00"/>
    <w:rsid w:val="73912164"/>
    <w:rsid w:val="740676D5"/>
    <w:rsid w:val="751F43EA"/>
    <w:rsid w:val="76045BEE"/>
    <w:rsid w:val="760B3FE4"/>
    <w:rsid w:val="76674745"/>
    <w:rsid w:val="769017FF"/>
    <w:rsid w:val="771F44F5"/>
    <w:rsid w:val="772C0709"/>
    <w:rsid w:val="77900144"/>
    <w:rsid w:val="78BB645C"/>
    <w:rsid w:val="790209F1"/>
    <w:rsid w:val="79587E6B"/>
    <w:rsid w:val="7A075ECC"/>
    <w:rsid w:val="7A0E4D2E"/>
    <w:rsid w:val="7B252096"/>
    <w:rsid w:val="7B3D416D"/>
    <w:rsid w:val="7BFF75C2"/>
    <w:rsid w:val="7D237C1D"/>
    <w:rsid w:val="7DD46C41"/>
    <w:rsid w:val="7DEA36E5"/>
    <w:rsid w:val="7DF12F39"/>
    <w:rsid w:val="7EDE2675"/>
    <w:rsid w:val="7F4734E9"/>
    <w:rsid w:val="7FF5027D"/>
    <w:rsid w:val="7FF80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right"/>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line number"/>
    <w:basedOn w:val="13"/>
    <w:semiHidden/>
    <w:unhideWhenUsed/>
    <w:qFormat/>
    <w:uiPriority w:val="99"/>
  </w:style>
  <w:style w:type="character" w:customStyle="1" w:styleId="15">
    <w:name w:val="页眉 Char"/>
    <w:basedOn w:val="13"/>
    <w:link w:val="6"/>
    <w:qFormat/>
    <w:uiPriority w:val="99"/>
    <w:rPr>
      <w:sz w:val="18"/>
      <w:szCs w:val="18"/>
    </w:rPr>
  </w:style>
  <w:style w:type="character" w:customStyle="1" w:styleId="16">
    <w:name w:val="页脚 Char"/>
    <w:basedOn w:val="13"/>
    <w:link w:val="5"/>
    <w:qFormat/>
    <w:uiPriority w:val="99"/>
    <w:rPr>
      <w:sz w:val="18"/>
      <w:szCs w:val="18"/>
    </w:rPr>
  </w:style>
  <w:style w:type="character" w:customStyle="1" w:styleId="17">
    <w:name w:val="批注框文本 Char"/>
    <w:basedOn w:val="13"/>
    <w:link w:val="4"/>
    <w:semiHidden/>
    <w:qFormat/>
    <w:uiPriority w:val="99"/>
    <w:rPr>
      <w:sz w:val="18"/>
      <w:szCs w:val="18"/>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eastAsia="宋体" w:cs="Times New Roman"/>
      <w:kern w:val="0"/>
      <w:szCs w:val="20"/>
    </w:rPr>
  </w:style>
  <w:style w:type="paragraph" w:customStyle="1" w:styleId="2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日期 Char"/>
    <w:basedOn w:val="13"/>
    <w:link w:val="3"/>
    <w:semiHidden/>
    <w:qFormat/>
    <w:uiPriority w:val="99"/>
    <w:rPr>
      <w:rFonts w:asciiTheme="minorHAnsi" w:hAnsiTheme="minorHAnsi" w:eastAsiaTheme="minorEastAsia" w:cstheme="minorBidi"/>
      <w:kern w:val="2"/>
      <w:sz w:val="21"/>
      <w:szCs w:val="22"/>
    </w:rPr>
  </w:style>
  <w:style w:type="paragraph" w:styleId="23">
    <w:name w:val="List Paragraph"/>
    <w:basedOn w:val="1"/>
    <w:unhideWhenUsed/>
    <w:qFormat/>
    <w:uiPriority w:val="99"/>
    <w:pPr>
      <w:ind w:firstLine="420" w:firstLineChars="200"/>
    </w:pPr>
  </w:style>
  <w:style w:type="character" w:customStyle="1" w:styleId="24">
    <w:name w:val="标题 Char"/>
    <w:basedOn w:val="13"/>
    <w:link w:val="10"/>
    <w:qFormat/>
    <w:uiPriority w:val="10"/>
    <w:rPr>
      <w:rFonts w:asciiTheme="majorHAnsi" w:hAnsiTheme="majorHAnsi" w:cstheme="majorBidi"/>
      <w:b/>
      <w:bCs/>
      <w:kern w:val="2"/>
      <w:sz w:val="32"/>
      <w:szCs w:val="32"/>
    </w:rPr>
  </w:style>
  <w:style w:type="character" w:customStyle="1" w:styleId="25">
    <w:name w:val="标题 3 Char"/>
    <w:basedOn w:val="13"/>
    <w:link w:val="2"/>
    <w:qFormat/>
    <w:uiPriority w:val="9"/>
    <w:rPr>
      <w:rFonts w:ascii="宋体" w:hAnsi="宋体" w:cs="宋体"/>
      <w:b/>
      <w:bCs/>
      <w:sz w:val="27"/>
      <w:szCs w:val="27"/>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03F49-2541-4299-991C-01AC4AA577BF}">
  <ds:schemaRefs/>
</ds:datastoreItem>
</file>

<file path=docProps/app.xml><?xml version="1.0" encoding="utf-8"?>
<Properties xmlns="http://schemas.openxmlformats.org/officeDocument/2006/extended-properties" xmlns:vt="http://schemas.openxmlformats.org/officeDocument/2006/docPropsVTypes">
  <Template>Normal</Template>
  <Company>kmzbo</Company>
  <Pages>41</Pages>
  <Words>3969</Words>
  <Characters>22624</Characters>
  <Lines>188</Lines>
  <Paragraphs>53</Paragraphs>
  <TotalTime>60</TotalTime>
  <ScaleCrop>false</ScaleCrop>
  <LinksUpToDate>false</LinksUpToDate>
  <CharactersWithSpaces>26540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2020-08-31T03:58:00Z</dcterms:created>
  <dc:creator>ppuser</dc:creator>
  <cp:lastModifiedBy>郭虹燕</cp:lastModifiedBy>
  <cp:lastPrinted>2022-06-20T09:22:00Z</cp:lastPrinted>
  <dcterms:modified xsi:type="dcterms:W3CDTF">2022-06-22T04:01:44Z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03B491C8261D4072BECE25CAD309097C</vt:lpwstr>
  </property>
</Properties>
</file>