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exact"/>
        <w:ind w:left="0" w:leftChars="0" w:right="0" w:rightChars="0"/>
        <w:jc w:val="left"/>
        <w:textAlignment w:val="auto"/>
        <w:outlineLvl w:val="9"/>
        <w:rPr>
          <w:rFonts w:hint="eastAsia" w:ascii="黑体" w:hAnsi="黑体" w:eastAsia="黑体" w:cs="黑体"/>
          <w:bCs/>
          <w:color w:val="000000"/>
          <w:sz w:val="32"/>
          <w:szCs w:val="32"/>
        </w:rPr>
      </w:pPr>
      <w:bookmarkStart w:id="0" w:name="_GoBack"/>
      <w:bookmarkEnd w:id="0"/>
      <w:r>
        <w:rPr>
          <w:rFonts w:hint="eastAsia" w:ascii="黑体" w:hAnsi="黑体" w:eastAsia="黑体" w:cs="黑体"/>
          <w:bCs/>
          <w:color w:val="000000"/>
          <w:sz w:val="32"/>
          <w:szCs w:val="32"/>
        </w:rPr>
        <w:t>附件</w:t>
      </w:r>
    </w:p>
    <w:p>
      <w:pPr>
        <w:spacing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云南省各州（市）主要工程材料价格指数</w:t>
      </w:r>
    </w:p>
    <w:tbl>
      <w:tblPr>
        <w:tblStyle w:val="4"/>
        <w:tblW w:w="14901" w:type="dxa"/>
        <w:jc w:val="center"/>
        <w:tblLayout w:type="fixed"/>
        <w:tblCellMar>
          <w:top w:w="0" w:type="dxa"/>
          <w:left w:w="108" w:type="dxa"/>
          <w:bottom w:w="0" w:type="dxa"/>
          <w:right w:w="108" w:type="dxa"/>
        </w:tblCellMar>
      </w:tblPr>
      <w:tblGrid>
        <w:gridCol w:w="1273"/>
        <w:gridCol w:w="1017"/>
        <w:gridCol w:w="1150"/>
        <w:gridCol w:w="1144"/>
        <w:gridCol w:w="1144"/>
        <w:gridCol w:w="1144"/>
        <w:gridCol w:w="1144"/>
        <w:gridCol w:w="1144"/>
        <w:gridCol w:w="1144"/>
        <w:gridCol w:w="1144"/>
        <w:gridCol w:w="1144"/>
        <w:gridCol w:w="1144"/>
        <w:gridCol w:w="1123"/>
        <w:gridCol w:w="42"/>
      </w:tblGrid>
      <w:tr>
        <w:tblPrEx>
          <w:tblCellMar>
            <w:top w:w="0" w:type="dxa"/>
            <w:left w:w="108" w:type="dxa"/>
            <w:bottom w:w="0" w:type="dxa"/>
            <w:right w:w="108" w:type="dxa"/>
          </w:tblCellMar>
        </w:tblPrEx>
        <w:trPr>
          <w:trHeight w:val="399" w:hRule="exact"/>
          <w:jc w:val="center"/>
        </w:trPr>
        <w:tc>
          <w:tcPr>
            <w:tcW w:w="14901" w:type="dxa"/>
            <w:gridSpan w:val="14"/>
            <w:tcBorders>
              <w:bottom w:val="single" w:color="auto" w:sz="4" w:space="0"/>
            </w:tcBorders>
            <w:vAlign w:val="center"/>
          </w:tcPr>
          <w:p>
            <w:pPr>
              <w:widowControl/>
              <w:spacing w:line="240" w:lineRule="exact"/>
              <w:jc w:val="center"/>
              <w:rPr>
                <w:rFonts w:ascii="黑体" w:hAnsi="黑体" w:eastAsia="黑体" w:cs="Calibri"/>
                <w:color w:val="000000"/>
                <w:kern w:val="0"/>
                <w:sz w:val="21"/>
                <w:szCs w:val="21"/>
              </w:rPr>
            </w:pPr>
            <w:r>
              <w:rPr>
                <w:rFonts w:hint="eastAsia" w:ascii="仿宋" w:hAnsi="仿宋" w:eastAsia="仿宋" w:cs="仿宋"/>
                <w:bCs/>
                <w:color w:val="000000"/>
                <w:sz w:val="21"/>
                <w:szCs w:val="21"/>
              </w:rPr>
              <w:t xml:space="preserve">                          </w:t>
            </w:r>
          </w:p>
        </w:tc>
      </w:tr>
      <w:tr>
        <w:tblPrEx>
          <w:tblCellMar>
            <w:top w:w="0" w:type="dxa"/>
            <w:left w:w="108" w:type="dxa"/>
            <w:bottom w:w="0" w:type="dxa"/>
            <w:right w:w="108" w:type="dxa"/>
          </w:tblCellMar>
        </w:tblPrEx>
        <w:trPr>
          <w:gridAfter w:val="1"/>
          <w:wAfter w:w="42" w:type="dxa"/>
          <w:trHeight w:val="540" w:hRule="atLeast"/>
          <w:jc w:val="center"/>
        </w:trPr>
        <w:tc>
          <w:tcPr>
            <w:tcW w:w="1273"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jc w:val="left"/>
              <w:rPr>
                <w:rFonts w:hint="eastAsia" w:ascii="楷体" w:hAnsi="楷体" w:eastAsia="楷体" w:cs="楷体"/>
                <w:b w:val="0"/>
                <w:bCs w:val="0"/>
                <w:kern w:val="0"/>
                <w:sz w:val="22"/>
                <w:szCs w:val="22"/>
              </w:rPr>
            </w:pPr>
            <w:r>
              <w:rPr>
                <w:rFonts w:hint="eastAsia" w:ascii="楷体" w:hAnsi="楷体" w:eastAsia="楷体" w:cs="楷体"/>
                <w:b w:val="0"/>
                <w:bCs w:val="0"/>
                <w:kern w:val="0"/>
                <w:sz w:val="22"/>
                <w:szCs w:val="22"/>
              </w:rPr>
              <w:t xml:space="preserve">   材 料</w:t>
            </w:r>
            <w:r>
              <w:rPr>
                <w:rFonts w:hint="eastAsia" w:ascii="楷体" w:hAnsi="楷体" w:eastAsia="楷体" w:cs="楷体"/>
                <w:b w:val="0"/>
                <w:bCs w:val="0"/>
                <w:kern w:val="0"/>
                <w:sz w:val="22"/>
                <w:szCs w:val="22"/>
              </w:rPr>
              <w:br w:type="textWrapping"/>
            </w:r>
            <w:r>
              <w:rPr>
                <w:rFonts w:hint="eastAsia" w:ascii="楷体" w:hAnsi="楷体" w:eastAsia="楷体" w:cs="楷体"/>
                <w:b w:val="0"/>
                <w:bCs w:val="0"/>
                <w:kern w:val="0"/>
                <w:sz w:val="22"/>
                <w:szCs w:val="22"/>
              </w:rPr>
              <w:br w:type="textWrapping"/>
            </w:r>
            <w:r>
              <w:rPr>
                <w:rFonts w:hint="eastAsia" w:ascii="楷体" w:hAnsi="楷体" w:eastAsia="楷体" w:cs="楷体"/>
                <w:b w:val="0"/>
                <w:bCs w:val="0"/>
                <w:kern w:val="0"/>
                <w:sz w:val="22"/>
                <w:szCs w:val="22"/>
              </w:rPr>
              <w:t>地 区</w:t>
            </w:r>
          </w:p>
        </w:tc>
        <w:tc>
          <w:tcPr>
            <w:tcW w:w="2167"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b w:val="0"/>
                <w:bCs w:val="0"/>
                <w:kern w:val="0"/>
                <w:sz w:val="22"/>
                <w:szCs w:val="22"/>
              </w:rPr>
            </w:pPr>
            <w:r>
              <w:rPr>
                <w:rFonts w:hint="eastAsia" w:ascii="楷体" w:hAnsi="楷体" w:eastAsia="楷体" w:cs="楷体"/>
                <w:b w:val="0"/>
                <w:bCs w:val="0"/>
                <w:kern w:val="0"/>
                <w:sz w:val="22"/>
                <w:szCs w:val="22"/>
              </w:rPr>
              <w:t>钢材</w:t>
            </w:r>
          </w:p>
        </w:tc>
        <w:tc>
          <w:tcPr>
            <w:tcW w:w="22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b w:val="0"/>
                <w:bCs w:val="0"/>
                <w:kern w:val="0"/>
                <w:sz w:val="22"/>
                <w:szCs w:val="22"/>
              </w:rPr>
            </w:pPr>
            <w:r>
              <w:rPr>
                <w:rFonts w:hint="eastAsia" w:ascii="楷体" w:hAnsi="楷体" w:eastAsia="楷体" w:cs="楷体"/>
                <w:b w:val="0"/>
                <w:bCs w:val="0"/>
                <w:kern w:val="0"/>
                <w:sz w:val="22"/>
                <w:szCs w:val="22"/>
              </w:rPr>
              <w:t>水泥</w:t>
            </w:r>
          </w:p>
        </w:tc>
        <w:tc>
          <w:tcPr>
            <w:tcW w:w="22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b w:val="0"/>
                <w:bCs w:val="0"/>
                <w:kern w:val="0"/>
                <w:sz w:val="22"/>
                <w:szCs w:val="22"/>
              </w:rPr>
            </w:pPr>
            <w:r>
              <w:rPr>
                <w:rFonts w:hint="eastAsia" w:ascii="楷体" w:hAnsi="楷体" w:eastAsia="楷体" w:cs="楷体"/>
                <w:b w:val="0"/>
                <w:bCs w:val="0"/>
                <w:kern w:val="0"/>
                <w:sz w:val="22"/>
                <w:szCs w:val="22"/>
              </w:rPr>
              <w:t>建筑用砂</w:t>
            </w:r>
          </w:p>
        </w:tc>
        <w:tc>
          <w:tcPr>
            <w:tcW w:w="22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b w:val="0"/>
                <w:bCs w:val="0"/>
                <w:kern w:val="0"/>
                <w:sz w:val="22"/>
                <w:szCs w:val="22"/>
              </w:rPr>
            </w:pPr>
            <w:r>
              <w:rPr>
                <w:rFonts w:hint="eastAsia" w:ascii="楷体" w:hAnsi="楷体" w:eastAsia="楷体" w:cs="楷体"/>
                <w:b w:val="0"/>
                <w:bCs w:val="0"/>
                <w:kern w:val="0"/>
                <w:sz w:val="22"/>
                <w:szCs w:val="22"/>
              </w:rPr>
              <w:t>建筑用石</w:t>
            </w:r>
          </w:p>
        </w:tc>
        <w:tc>
          <w:tcPr>
            <w:tcW w:w="228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b w:val="0"/>
                <w:bCs w:val="0"/>
                <w:kern w:val="0"/>
                <w:sz w:val="22"/>
                <w:szCs w:val="22"/>
              </w:rPr>
            </w:pPr>
            <w:r>
              <w:rPr>
                <w:rFonts w:hint="eastAsia" w:ascii="楷体" w:hAnsi="楷体" w:eastAsia="楷体" w:cs="楷体"/>
                <w:b w:val="0"/>
                <w:bCs w:val="0"/>
                <w:kern w:val="0"/>
                <w:sz w:val="22"/>
                <w:szCs w:val="22"/>
              </w:rPr>
              <w:t>商品混凝土</w:t>
            </w:r>
          </w:p>
        </w:tc>
        <w:tc>
          <w:tcPr>
            <w:tcW w:w="2267" w:type="dxa"/>
            <w:gridSpan w:val="2"/>
            <w:tcBorders>
              <w:top w:val="single" w:color="auto" w:sz="4" w:space="0"/>
              <w:left w:val="nil"/>
              <w:bottom w:val="nil"/>
              <w:right w:val="single" w:color="auto" w:sz="4" w:space="0"/>
            </w:tcBorders>
            <w:vAlign w:val="center"/>
          </w:tcPr>
          <w:p>
            <w:pPr>
              <w:widowControl/>
              <w:jc w:val="center"/>
              <w:rPr>
                <w:rFonts w:hint="eastAsia" w:ascii="楷体" w:hAnsi="楷体" w:eastAsia="楷体" w:cs="楷体"/>
                <w:b w:val="0"/>
                <w:bCs w:val="0"/>
                <w:kern w:val="0"/>
                <w:sz w:val="22"/>
                <w:szCs w:val="22"/>
              </w:rPr>
            </w:pPr>
            <w:r>
              <w:rPr>
                <w:rFonts w:hint="eastAsia" w:ascii="楷体" w:hAnsi="楷体" w:eastAsia="楷体" w:cs="楷体"/>
                <w:b w:val="0"/>
                <w:bCs w:val="0"/>
                <w:kern w:val="0"/>
                <w:sz w:val="22"/>
                <w:szCs w:val="22"/>
              </w:rPr>
              <w:t>蒸压加气混凝土砌块</w:t>
            </w:r>
          </w:p>
        </w:tc>
      </w:tr>
      <w:tr>
        <w:tblPrEx>
          <w:tblCellMar>
            <w:top w:w="0" w:type="dxa"/>
            <w:left w:w="108" w:type="dxa"/>
            <w:bottom w:w="0" w:type="dxa"/>
            <w:right w:w="108" w:type="dxa"/>
          </w:tblCellMar>
        </w:tblPrEx>
        <w:trPr>
          <w:gridAfter w:val="1"/>
          <w:wAfter w:w="42" w:type="dxa"/>
          <w:trHeight w:val="532"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kern w:val="0"/>
                <w:sz w:val="22"/>
                <w:szCs w:val="22"/>
              </w:rPr>
            </w:pPr>
          </w:p>
        </w:tc>
        <w:tc>
          <w:tcPr>
            <w:tcW w:w="1017"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环比</w:t>
            </w:r>
          </w:p>
        </w:tc>
        <w:tc>
          <w:tcPr>
            <w:tcW w:w="1150"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同比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环比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同比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环比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同比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环比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同比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环比</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同比</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环比</w:t>
            </w:r>
          </w:p>
        </w:tc>
        <w:tc>
          <w:tcPr>
            <w:tcW w:w="1123" w:type="dxa"/>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b w:val="0"/>
                <w:bCs w:val="0"/>
                <w:kern w:val="0"/>
                <w:sz w:val="20"/>
                <w:szCs w:val="20"/>
              </w:rPr>
            </w:pPr>
            <w:r>
              <w:rPr>
                <w:rFonts w:hint="eastAsia" w:ascii="楷体" w:hAnsi="楷体" w:eastAsia="楷体" w:cs="楷体"/>
                <w:b w:val="0"/>
                <w:bCs w:val="0"/>
                <w:kern w:val="0"/>
                <w:sz w:val="20"/>
                <w:szCs w:val="20"/>
              </w:rPr>
              <w:t>同比</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云南省</w:t>
            </w:r>
          </w:p>
        </w:tc>
        <w:tc>
          <w:tcPr>
            <w:tcW w:w="1017"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992.87 </w:t>
            </w:r>
          </w:p>
        </w:tc>
        <w:tc>
          <w:tcPr>
            <w:tcW w:w="1150"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933.04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1012.99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1056.91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989.01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967.74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987.01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938.27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989.58 </w:t>
            </w:r>
          </w:p>
        </w:tc>
        <w:tc>
          <w:tcPr>
            <w:tcW w:w="112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 xml:space="preserve">1017.86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昆明市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992.59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928.41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984.50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1046.70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1017.24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1067.57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989.74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989.74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968.42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955.02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曲靖市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992.72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931.66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1052.08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986.97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1101.45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1060.61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1014.93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994.15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965.91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947.96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玉溪市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992.61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928.57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1029.67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1035.82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920.45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970.15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988.89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870.42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1016.53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保山市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992.82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932.58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1059.01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1011.87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1132.35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997.33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1017.36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昭通市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992.89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933.18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1066.34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1136.13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1024.39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1076.92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1013.70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1072.46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1025.45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967.97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954.39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丽江市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990.65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933.92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1082.93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989.80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989.80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987.01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1041.10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997.89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1167.49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1018.81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普洱市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992.86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932.89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1115.94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866.67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987.80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870.97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997.83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1029.08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1015.82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临沧市</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992.99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936.12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1007.13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1149.05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926.83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894.12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927.54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988.96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1015.87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996.77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1016.45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楚雄州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992.87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933.04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983.33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1011.43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990.65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987.80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997.45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882.62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1018.18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红河州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992.86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932.89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1019.39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1069.77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988.51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955.56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984.38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863.01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1043.61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995.98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980.24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文山州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990.52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930.96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975.83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897.22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985.92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984.13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1033.33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988.73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938.50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963.41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983.40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lang w:val="en-US" w:eastAsia="zh-CN"/>
              </w:rPr>
            </w:pPr>
            <w:r>
              <w:rPr>
                <w:rFonts w:hint="eastAsia" w:ascii="楷体" w:hAnsi="楷体" w:eastAsia="楷体" w:cs="楷体"/>
                <w:color w:val="000000"/>
                <w:kern w:val="0"/>
                <w:sz w:val="20"/>
                <w:szCs w:val="20"/>
              </w:rPr>
              <w:t>西双版纳</w:t>
            </w:r>
            <w:r>
              <w:rPr>
                <w:rFonts w:hint="eastAsia" w:ascii="楷体" w:hAnsi="楷体" w:eastAsia="楷体" w:cs="楷体"/>
                <w:color w:val="000000"/>
                <w:kern w:val="0"/>
                <w:sz w:val="20"/>
                <w:szCs w:val="20"/>
                <w:lang w:val="en-US" w:eastAsia="zh-CN"/>
              </w:rPr>
              <w:t>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990.61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933.63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997.66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1004.71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990.91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956.14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989.13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938.14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998.11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998.11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1018.75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大理州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990.61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931.57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997.73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1083.95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918.37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933.33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1006.06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1044.03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1016.53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德宏州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990.70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934.21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1050.42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974.03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987.50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1112.68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835.16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1009.62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974.48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996.75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1077.19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怒江州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990.70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934.21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997.40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1094.29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1012.50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898.73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1010.28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1039.68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973.84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1116.67 </w:t>
            </w:r>
          </w:p>
        </w:tc>
      </w:tr>
      <w:tr>
        <w:tblPrEx>
          <w:tblCellMar>
            <w:top w:w="0" w:type="dxa"/>
            <w:left w:w="108" w:type="dxa"/>
            <w:bottom w:w="0" w:type="dxa"/>
            <w:right w:w="108" w:type="dxa"/>
          </w:tblCellMar>
        </w:tblPrEx>
        <w:trPr>
          <w:gridAfter w:val="1"/>
          <w:wAfter w:w="42" w:type="dxa"/>
          <w:trHeight w:val="425" w:hRule="exact"/>
          <w:jc w:val="center"/>
        </w:trPr>
        <w:tc>
          <w:tcPr>
            <w:tcW w:w="1273" w:type="dxa"/>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color w:val="000000"/>
                <w:kern w:val="0"/>
                <w:sz w:val="20"/>
                <w:szCs w:val="20"/>
              </w:rPr>
            </w:pPr>
            <w:r>
              <w:rPr>
                <w:rFonts w:hint="eastAsia" w:ascii="楷体" w:hAnsi="楷体" w:eastAsia="楷体" w:cs="楷体"/>
                <w:color w:val="000000"/>
                <w:kern w:val="0"/>
                <w:sz w:val="20"/>
                <w:szCs w:val="20"/>
              </w:rPr>
              <w:t>迪庆州</w:t>
            </w:r>
          </w:p>
        </w:tc>
        <w:tc>
          <w:tcPr>
            <w:tcW w:w="101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990.68 </w:t>
            </w:r>
          </w:p>
        </w:tc>
        <w:tc>
          <w:tcPr>
            <w:tcW w:w="115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934.07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997.71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1040.00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821.05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1058.82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960.00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1012.56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1015.11 </w:t>
            </w:r>
          </w:p>
        </w:tc>
        <w:tc>
          <w:tcPr>
            <w:tcW w:w="114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1000.00 </w:t>
            </w:r>
          </w:p>
        </w:tc>
        <w:tc>
          <w:tcPr>
            <w:tcW w:w="112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1096.53 </w:t>
            </w:r>
          </w:p>
        </w:tc>
      </w:tr>
    </w:tbl>
    <w:p>
      <w:pPr>
        <w:keepNext w:val="0"/>
        <w:keepLines w:val="0"/>
        <w:pageBreakBefore w:val="0"/>
        <w:kinsoku/>
        <w:wordWrap/>
        <w:overflowPunct/>
        <w:topLinePunct w:val="0"/>
        <w:autoSpaceDE/>
        <w:autoSpaceDN/>
        <w:bidi w:val="0"/>
        <w:adjustRightInd w:val="0"/>
        <w:snapToGrid w:val="0"/>
        <w:spacing w:line="560" w:lineRule="exact"/>
        <w:ind w:right="0" w:rightChars="0"/>
        <w:jc w:val="left"/>
        <w:textAlignment w:val="auto"/>
        <w:outlineLvl w:val="9"/>
        <w:rPr>
          <w:rFonts w:hint="eastAsia" w:ascii="Times New Roman" w:hAnsi="Times New Roman" w:eastAsia="仿宋_GB2312" w:cs="仿宋_GB2312"/>
          <w:bCs/>
          <w:color w:val="000000"/>
          <w:sz w:val="32"/>
          <w:szCs w:val="32"/>
          <w:lang w:val="en-US" w:eastAsia="zh-CN"/>
        </w:rPr>
        <w:sectPr>
          <w:footerReference r:id="rId3" w:type="default"/>
          <w:footerReference r:id="rId4" w:type="even"/>
          <w:pgSz w:w="16838" w:h="11906" w:orient="landscape"/>
          <w:pgMar w:top="567" w:right="1814" w:bottom="567" w:left="1814" w:header="851" w:footer="1134"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600" w:lineRule="exact"/>
        <w:ind w:left="0" w:leftChars="0"/>
        <w:jc w:val="left"/>
        <w:textAlignment w:val="auto"/>
        <w:outlineLvl w:val="9"/>
        <w:rPr>
          <w:rFonts w:ascii="楷体_GB2312" w:hAnsi="黑体" w:eastAsia="楷体_GB2312" w:cs="宋体"/>
          <w:color w:val="000000"/>
          <w:kern w:val="0"/>
          <w:sz w:val="32"/>
          <w:szCs w:val="32"/>
        </w:rPr>
      </w:pPr>
      <w:r>
        <w:rPr>
          <w:rFonts w:hint="eastAsia" w:ascii="楷体_GB2312" w:hAnsi="黑体" w:eastAsia="楷体_GB2312" w:cs="宋体"/>
          <w:color w:val="000000"/>
          <w:kern w:val="0"/>
          <w:sz w:val="32"/>
          <w:szCs w:val="32"/>
          <w:lang w:eastAsia="zh-CN"/>
        </w:rPr>
        <w:t>说明</w:t>
      </w:r>
      <w:r>
        <w:rPr>
          <w:rFonts w:hint="eastAsia" w:ascii="楷体_GB2312" w:hAnsi="黑体" w:eastAsia="楷体_GB2312" w:cs="宋体"/>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1.主要工程材料价格指数用当前时期材料价格同其前一期材料价格对比所编制的指数，反映材料价格水平逐期波动情况。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主要工程材料价格环比指数=(当月材料价格/上月材料价格)×基期（以上月为基期，基期=1000）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主要工程材料价格同比指数=(当月材料价格/去年同期材料价格)×基期（以去年同期为基期，基期=1000）</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2.所发布的主要材料价格计算依据均为《云南省建设工程材料及设备价格信息》的“除税预算价”。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3.此报告中采用的价格均为各州（市）主城区</w:t>
      </w:r>
      <w:r>
        <w:rPr>
          <w:rFonts w:hint="eastAsia" w:ascii="仿宋_GB2312" w:hAnsi="仿宋_GB2312" w:eastAsia="仿宋_GB2312" w:cs="仿宋_GB2312"/>
          <w:color w:val="000000"/>
          <w:kern w:val="0"/>
          <w:sz w:val="32"/>
          <w:szCs w:val="32"/>
          <w:lang w:val="en-US" w:eastAsia="zh-CN"/>
        </w:rPr>
        <w:t>主要工程材料</w:t>
      </w:r>
      <w:r>
        <w:rPr>
          <w:rFonts w:hint="eastAsia" w:ascii="仿宋_GB2312" w:hAnsi="仿宋_GB2312" w:eastAsia="仿宋_GB2312" w:cs="仿宋_GB2312"/>
          <w:color w:val="000000"/>
          <w:kern w:val="0"/>
          <w:sz w:val="32"/>
          <w:szCs w:val="32"/>
        </w:rPr>
        <w:t>价格。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4.分析报告内选择钢材、水泥、建筑用砂、建筑用石、商品混凝土和蒸压加气混凝土砌块六类，各类综合材料如下：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钢材：热轧光圆钢筋</w:t>
      </w:r>
      <w:r>
        <w:rPr>
          <w:rFonts w:hint="eastAsia" w:ascii="仿宋_GB2312" w:hAnsi="仿宋_GB2312" w:eastAsia="仿宋_GB2312" w:cs="仿宋_GB2312"/>
          <w:bCs/>
          <w:color w:val="000000"/>
          <w:sz w:val="32"/>
          <w:szCs w:val="32"/>
        </w:rPr>
        <w:t>（高线）</w:t>
      </w:r>
      <w:r>
        <w:rPr>
          <w:rFonts w:hint="eastAsia" w:ascii="仿宋_GB2312" w:hAnsi="仿宋_GB2312" w:eastAsia="仿宋_GB2312" w:cs="仿宋_GB2312"/>
          <w:color w:val="000000"/>
          <w:kern w:val="0"/>
          <w:sz w:val="32"/>
          <w:szCs w:val="32"/>
        </w:rPr>
        <w:t>、热轧带肋钢筋</w:t>
      </w:r>
      <w:r>
        <w:rPr>
          <w:rFonts w:hint="eastAsia" w:ascii="仿宋_GB2312" w:hAnsi="仿宋_GB2312" w:eastAsia="仿宋_GB2312" w:cs="仿宋_GB2312"/>
          <w:bCs/>
          <w:color w:val="000000"/>
          <w:sz w:val="32"/>
          <w:szCs w:val="32"/>
        </w:rPr>
        <w:t>（螺纹钢）</w:t>
      </w:r>
      <w:r>
        <w:rPr>
          <w:rFonts w:hint="eastAsia" w:ascii="仿宋_GB2312" w:hAnsi="仿宋_GB2312" w:eastAsia="仿宋_GB2312" w:cs="仿宋_GB2312"/>
          <w:color w:val="000000"/>
          <w:kern w:val="0"/>
          <w:sz w:val="32"/>
          <w:szCs w:val="32"/>
        </w:rPr>
        <w:t>、热轧圆钢；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水泥：普通硅酸盐水泥、矿渣硅酸盐水泥、复合硅酸盐水泥；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建筑用砂：山砂、人工砂、粗砂、细砂；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建筑用石：碎石、毛石；</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商品混凝土；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蒸压加气混凝土砌块。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5、临沧市建筑用石、迪庆州水泥因去年同期价格数据不具备综合计算条件，故本月未发布该两州（市）主城区同比指数。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6.当月材料价格的数据采集计算时段为上一个完整的日历月。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7.所调查的生产材料均符合国家现行标准。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28" w:rightChars="0" w:firstLine="640" w:firstLineChars="200"/>
        <w:jc w:val="both"/>
        <w:textAlignment w:val="auto"/>
        <w:outlineLvl w:val="9"/>
        <w:rPr>
          <w:rFonts w:hint="eastAsia" w:ascii="仿宋_GB2312" w:hAnsi="仿宋_GB2312" w:eastAsia="仿宋_GB2312" w:cs="仿宋_GB2312"/>
          <w:color w:val="000000"/>
          <w:kern w:val="0"/>
          <w:sz w:val="32"/>
          <w:szCs w:val="32"/>
        </w:rPr>
      </w:pPr>
    </w:p>
    <w:p>
      <w:pPr>
        <w:pBdr>
          <w:top w:val="single" w:color="auto" w:sz="8" w:space="1"/>
        </w:pBdr>
        <w:adjustRightInd w:val="0"/>
        <w:snapToGrid w:val="0"/>
        <w:ind w:firstLine="280" w:firstLineChars="100"/>
        <w:rPr>
          <w:rFonts w:hint="eastAsia" w:ascii="仿宋" w:hAnsi="仿宋" w:eastAsia="仿宋"/>
          <w:sz w:val="28"/>
          <w:szCs w:val="28"/>
          <w:lang w:eastAsia="zh-CN"/>
        </w:rPr>
      </w:pPr>
      <w:r>
        <w:rPr>
          <w:rFonts w:hint="eastAsia" w:ascii="仿宋" w:hAnsi="仿宋" w:eastAsia="仿宋"/>
          <w:sz w:val="28"/>
          <w:szCs w:val="28"/>
        </w:rPr>
        <w:t>抄送：</w:t>
      </w:r>
      <w:r>
        <w:rPr>
          <w:rFonts w:hint="eastAsia" w:ascii="仿宋" w:hAnsi="仿宋" w:eastAsia="仿宋"/>
          <w:sz w:val="28"/>
          <w:szCs w:val="28"/>
          <w:lang w:eastAsia="zh-CN"/>
        </w:rPr>
        <w:t>省政府办公厅，省发展改革委，省统计局，国家统计局云南</w:t>
      </w:r>
    </w:p>
    <w:p>
      <w:pPr>
        <w:pBdr>
          <w:top w:val="single" w:color="auto" w:sz="8" w:space="1"/>
        </w:pBdr>
        <w:adjustRightInd w:val="0"/>
        <w:snapToGrid w:val="0"/>
        <w:ind w:firstLine="1120" w:firstLineChars="400"/>
        <w:rPr>
          <w:rFonts w:hint="eastAsia" w:ascii="仿宋" w:hAnsi="仿宋" w:eastAsia="仿宋"/>
          <w:sz w:val="28"/>
          <w:szCs w:val="28"/>
          <w:lang w:eastAsia="zh-CN"/>
        </w:rPr>
      </w:pPr>
      <w:r>
        <w:rPr>
          <w:rFonts w:hint="eastAsia" w:ascii="仿宋" w:hAnsi="仿宋" w:eastAsia="仿宋"/>
          <w:sz w:val="28"/>
          <w:szCs w:val="28"/>
          <w:lang w:eastAsia="zh-CN"/>
        </w:rPr>
        <w:t>调查总队。</w:t>
      </w:r>
    </w:p>
    <w:p>
      <w:pPr>
        <w:pBdr>
          <w:top w:val="single" w:color="auto" w:sz="8" w:space="1"/>
        </w:pBdr>
        <w:adjustRightInd w:val="0"/>
        <w:snapToGrid w:val="0"/>
        <w:ind w:firstLine="1120" w:firstLineChars="400"/>
        <w:rPr>
          <w:rFonts w:hint="eastAsia" w:ascii="仿宋" w:hAnsi="仿宋" w:eastAsia="仿宋"/>
          <w:sz w:val="28"/>
          <w:szCs w:val="28"/>
          <w:lang w:eastAsia="zh-CN"/>
        </w:rPr>
      </w:pPr>
      <w:r>
        <w:rPr>
          <w:rFonts w:hint="eastAsia" w:ascii="仿宋" w:hAnsi="仿宋" w:eastAsia="仿宋"/>
          <w:sz w:val="28"/>
          <w:szCs w:val="28"/>
          <w:lang w:eastAsia="zh-CN"/>
        </w:rPr>
        <w:t>住房城乡建设部标准定额司，标准定额研究所。</w:t>
      </w:r>
    </w:p>
    <w:p>
      <w:pPr>
        <w:pBdr>
          <w:top w:val="single" w:color="auto" w:sz="8" w:space="1"/>
        </w:pBdr>
        <w:adjustRightInd w:val="0"/>
        <w:snapToGrid w:val="0"/>
        <w:ind w:firstLine="1120" w:firstLineChars="400"/>
        <w:rPr>
          <w:rFonts w:hint="eastAsia" w:ascii="仿宋" w:hAnsi="仿宋" w:eastAsia="仿宋"/>
          <w:sz w:val="28"/>
          <w:szCs w:val="28"/>
          <w:lang w:eastAsia="zh-CN"/>
        </w:rPr>
      </w:pPr>
      <w:r>
        <w:rPr>
          <w:rFonts w:hint="eastAsia" w:ascii="仿宋" w:hAnsi="仿宋" w:eastAsia="仿宋"/>
          <w:sz w:val="28"/>
          <w:szCs w:val="28"/>
          <w:lang w:eastAsia="zh-CN"/>
        </w:rPr>
        <w:t>云南省建设投资控股集团有限公司，云南省城乡建设投资有</w:t>
      </w:r>
    </w:p>
    <w:p>
      <w:pPr>
        <w:pBdr>
          <w:top w:val="single" w:color="auto" w:sz="8" w:space="1"/>
        </w:pBdr>
        <w:adjustRightInd w:val="0"/>
        <w:snapToGrid w:val="0"/>
        <w:ind w:firstLine="1120" w:firstLineChars="400"/>
        <w:rPr>
          <w:rFonts w:hint="eastAsia" w:ascii="仿宋" w:hAnsi="仿宋" w:eastAsia="仿宋"/>
          <w:sz w:val="28"/>
          <w:szCs w:val="28"/>
          <w:lang w:eastAsia="zh-CN"/>
        </w:rPr>
      </w:pPr>
      <w:r>
        <w:rPr>
          <w:rFonts w:hint="eastAsia" w:ascii="仿宋" w:hAnsi="仿宋" w:eastAsia="仿宋"/>
          <w:sz w:val="28"/>
          <w:szCs w:val="28"/>
          <w:lang w:eastAsia="zh-CN"/>
        </w:rPr>
        <w:t>限公司，云南省设计院集团有限公司。</w:t>
      </w:r>
    </w:p>
    <w:p>
      <w:pPr>
        <w:pBdr>
          <w:top w:val="single" w:color="auto" w:sz="4" w:space="1"/>
          <w:bottom w:val="single" w:color="auto" w:sz="8" w:space="1"/>
        </w:pBdr>
        <w:adjustRightInd w:val="0"/>
        <w:snapToGrid w:val="0"/>
        <w:ind w:firstLine="280" w:firstLineChars="100"/>
      </w:pPr>
      <w:r>
        <w:rPr>
          <w:rFonts w:hint="eastAsia" w:ascii="仿宋" w:hAnsi="仿宋" w:eastAsia="仿宋"/>
          <w:sz w:val="28"/>
          <w:szCs w:val="28"/>
        </w:rPr>
        <w:t>云南省住房和城乡建设厅办公室          20</w:t>
      </w:r>
      <w:r>
        <w:rPr>
          <w:rFonts w:hint="eastAsia" w:ascii="仿宋" w:hAnsi="仿宋" w:eastAsia="仿宋"/>
          <w:sz w:val="28"/>
          <w:szCs w:val="28"/>
          <w:lang w:val="en-US" w:eastAsia="zh-CN"/>
        </w:rPr>
        <w:t>19</w:t>
      </w:r>
      <w:r>
        <w:rPr>
          <w:rFonts w:hint="eastAsia" w:ascii="仿宋" w:hAnsi="仿宋" w:eastAsia="仿宋"/>
          <w:sz w:val="28"/>
          <w:szCs w:val="28"/>
        </w:rPr>
        <w:t>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日印发</w:t>
      </w:r>
    </w:p>
    <w:sectPr>
      <w:footerReference r:id="rId5" w:type="default"/>
      <w:footerReference r:id="rId6" w:type="even"/>
      <w:pgSz w:w="11906" w:h="16838"/>
      <w:pgMar w:top="2098" w:right="1588" w:bottom="1814" w:left="1588" w:header="851"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36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right="360"/>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ind w:firstLine="560" w:firstLineChars="2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31680"/>
    <w:rsid w:val="0003576D"/>
    <w:rsid w:val="000D67B8"/>
    <w:rsid w:val="00196488"/>
    <w:rsid w:val="00783686"/>
    <w:rsid w:val="007E4453"/>
    <w:rsid w:val="00A80BAF"/>
    <w:rsid w:val="00D80FEC"/>
    <w:rsid w:val="00E11357"/>
    <w:rsid w:val="00F1015D"/>
    <w:rsid w:val="0EBF70A2"/>
    <w:rsid w:val="164F3A3C"/>
    <w:rsid w:val="17F95FF6"/>
    <w:rsid w:val="1A0C673C"/>
    <w:rsid w:val="3CC964A1"/>
    <w:rsid w:val="3E500C77"/>
    <w:rsid w:val="3FC96548"/>
    <w:rsid w:val="4EEF2223"/>
    <w:rsid w:val="6E531680"/>
    <w:rsid w:val="712D5C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qFormat/>
    <w:uiPriority w:val="99"/>
    <w:rPr>
      <w:sz w:val="18"/>
      <w:szCs w:val="18"/>
    </w:rPr>
  </w:style>
  <w:style w:type="character" w:customStyle="1" w:styleId="8">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15;&#20989;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便函3.2.wpt</Template>
  <Company>云南省住房和城乡建设厅</Company>
  <Pages>2</Pages>
  <Words>0</Words>
  <Characters>0</Characters>
  <Lines>1</Lines>
  <Paragraphs>1</Paragraphs>
  <TotalTime>35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2019-10-16T06:54:00Z</dcterms:created>
  <dc:creator>陈磊雄</dc:creator>
  <cp:lastModifiedBy>棉花糖</cp:lastModifiedBy>
  <cp:lastPrinted>2019-10-17T08:38:00Z</cp:lastPrinted>
  <dcterms:modified xsi:type="dcterms:W3CDTF">2019-10-18T10:05:00Z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